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[I128-2387] Документировать ссылки по статьям и номерам журналов в таблице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001a912e39184b5cd76959604f65fe5095dcad"/>
    <w:p>
      <w:pPr>
        <w:pStyle w:val="Heading1"/>
      </w:pPr>
      <w:r>
        <w:t xml:space="preserve">[I128-2387] Документировать ссылки по статьям и номерам журналов в таблице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18:31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в описании таблицы слияний добавлено пояснение по ссылкам и фильтрам для связанных шифров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поясняет, что в таблице слияний можно открыть связанные записи журнала, номера журнала или статьи в Электронном каталоге, а также отфильтровать таблицу по выбранному шифру через служебные ссылки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9"/>
    <w:p>
      <w:pPr>
        <w:pStyle w:val="Heading3"/>
      </w:pPr>
      <w:r>
        <w:t xml:space="preserve">1.1. 🔗 Соответствует задача: I128-2369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[I128-2369]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[I128-2387] Документировать ссылки по статьям и номерам журналов в таблице слияний</dc:title>
  <dc:creator/>
  <cp:keywords/>
  <dcterms:created xsi:type="dcterms:W3CDTF">2026-10-08T20:20:44Z</dcterms:created>
  <dcterms:modified xsi:type="dcterms:W3CDTF">2026-10-08T20:20:44Z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