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парсера импортируемых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парсера-импортируемых-файлов"/>
    <w:p>
      <w:pPr>
        <w:pStyle w:val="Heading1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9" w:name="что-должен-вернуть-парсер"/>
    <w:p>
      <w:pPr>
        <w:pStyle w:val="Heading2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9"/>
    <w:bookmarkStart w:id="10" w:name="связь-с-функцией-слияния"/>
    <w:p>
      <w:pPr>
        <w:pStyle w:val="Heading2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0"/>
    <w:bookmarkStart w:id="11" w:name="практические-правила"/>
    <w:p>
      <w:pPr>
        <w:pStyle w:val="Heading2"/>
      </w:pPr>
      <w:r>
        <w:t xml:space="preserve">3. Практические правила</w:t>
      </w:r>
    </w:p>
    <w:p>
      <w:pPr>
        <w:pStyle w:val="Compact"/>
        <w:numPr>
          <w:ilvl w:val="0"/>
          <w:numId w:val="1003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3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3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3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парсера импортируемых файлов</dc:title>
  <dc:creator/>
  <cp:keywords/>
  <dcterms:created xsi:type="dcterms:W3CDTF">2026-10-07T17:31:32Z</dcterms:created>
  <dcterms:modified xsi:type="dcterms:W3CDTF">2026-10-07T17:31:32Z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