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обращения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жизненный-цикл-обращения"/>
    <w:p>
      <w:pPr>
        <w:pStyle w:val="Heading1"/>
      </w:pPr>
      <w:r>
        <w:t xml:space="preserve">Жизненный цикл обращения</w:t>
      </w:r>
    </w:p>
    <w:bookmarkStart w:id="9" w:name="создание"/>
    <w:p>
      <w:pPr>
        <w:pStyle w:val="Heading2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9"/>
    <w:bookmarkStart w:id="10" w:name="обработка"/>
    <w:p>
      <w:pPr>
        <w:pStyle w:val="Heading2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0"/>
    <w:bookmarkStart w:id="11" w:name="переписка"/>
    <w:p>
      <w:pPr>
        <w:pStyle w:val="Heading2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1"/>
    <w:bookmarkStart w:id="12" w:name="завершение-и-оценка"/>
    <w:p>
      <w:pPr>
        <w:pStyle w:val="Heading2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обращения</dc:title>
  <dc:creator/>
  <cp:keywords/>
  <dcterms:created xsi:type="dcterms:W3CDTF">2026-10-07T18:21:30Z</dcterms:created>
  <dcterms:modified xsi:type="dcterms:W3CDTF">2026-10-07T18:21:30Z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