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Каталожные разделители ИМИДЖ-каталогов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таложные-разделители-имидж-каталогов"/>
    <w:p>
      <w:pPr>
        <w:pStyle w:val="Heading1"/>
      </w:pPr>
      <w:r>
        <w:t xml:space="preserve">Каталожные разделители ИМИДЖ-каталогов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строит и хранит навигационные разделители для ИМИДЖ-каталогов.</w:t>
      </w:r>
    </w:p>
    <w:bookmarkStart w:id="11" w:name="назначение-модуля-imagenav"/>
    <w:p>
      <w:pPr>
        <w:pStyle w:val="Heading2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Каталожные разделители ИМИДЖ-каталогов</dc:title>
  <dc:creator/>
  <cp:keywords/>
  <dcterms:created xsi:type="dcterms:W3CDTF">2026-10-06T06:33:47Z</dcterms:created>
  <dcterms:modified xsi:type="dcterms:W3CDTF">2026-10-06T06:33:47Z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