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Таблицы переформатирования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аблицы-переформатирования-fst"/>
    <w:p>
      <w:pPr>
        <w:pStyle w:val="Heading1"/>
      </w:pPr>
      <w:r>
        <w:t xml:space="preserve">Таблицы переформатирования FST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FST</w:t>
      </w:r>
      <w:r>
        <w:t xml:space="preserve"> </w:t>
      </w:r>
      <w:r>
        <w:t xml:space="preserve">загружает таблицы переформатирования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базы ИРБИС, кеширует их разобранное представление и применяет таблицу к записи.</w:t>
      </w:r>
    </w:p>
    <w:bookmarkStart w:id="11" w:name="назначение-модуля-fst"/>
    <w:p>
      <w:pPr>
        <w:pStyle w:val="Heading2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Таблицы переформатирования FST</dc:title>
  <dc:creator/>
  <cp:keywords/>
  <dcterms:created xsi:type="dcterms:W3CDTF">2026-10-04T14:41:48Z</dcterms:created>
  <dcterms:modified xsi:type="dcterms:W3CDTF">2026-10-04T14:41:48Z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