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Провайдеры и подключение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вайдеры-и-подключение"/>
    <w:p>
      <w:pPr>
        <w:pStyle w:val="Heading1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10" w:name="варианты-подключения"/>
    <w:p>
      <w:pPr>
        <w:pStyle w:val="Heading2"/>
      </w:pPr>
      <w:r>
        <w:t xml:space="preserve">1. Варианты подключения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10"/>
    <w:bookmarkStart w:id="11" w:name="открытие-баз"/>
    <w:p>
      <w:pPr>
        <w:pStyle w:val="Heading2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11"/>
    <w:bookmarkStart w:id="12" w:name="доступ-к-провайдеру-и-кэшу-открытых-баз"/>
    <w:p>
      <w:pPr>
        <w:pStyle w:val="Heading2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12"/>
    <w:bookmarkStart w:id="13" w:name="ошибки"/>
    <w:p>
      <w:pPr>
        <w:pStyle w:val="Heading2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Irbis64Nativ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Irbis64Nativ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Провайдеры и подключение</dc:title>
  <dc:creator/>
  <cp:keywords/>
  <dcterms:created xsi:type="dcterms:W3CDTF">2026-10-04T17:07:17Z</dcterms:created>
  <dcterms:modified xsi:type="dcterms:W3CDTF">2026-10-04T17:07:17Z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