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[I128-2156] Доступность модуля i128f через i128f::getInstance()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f8a6c70f6d3ca7fd4145c8d0dcfcdb558904650"/>
    <w:p>
      <w:pPr>
        <w:pStyle w:val="Heading1"/>
      </w:pPr>
      <w:r>
        <w:t xml:space="preserve">[I128-2156] Доступность модуля i128f через i128f::getInstance()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6"/>
    <w:p>
      <w:pPr>
        <w:pStyle w:val="Heading3"/>
      </w:pPr>
      <w:r>
        <w:t xml:space="preserve">1.1. 🔗 Соответствует задача: I128-2176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[I128-2156] Доступность модуля i128f через i128f::getInstance()</dc:title>
  <dc:creator/>
  <cp:keywords/>
  <dcterms:created xsi:type="dcterms:W3CDTF">2026-10-06T05:25:05Z</dcterms:created>
  <dcterms:modified xsi:type="dcterms:W3CDTF">2026-10-06T05:25:05Z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