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aitool"/>
    <w:p>
      <w:pPr>
        <w:pStyle w:val="Heading1"/>
      </w:pPr>
      <w:r>
        <w:t xml:space="preserve">AITool</w:t>
      </w:r>
    </w:p>
    <w:p>
      <w:pPr>
        <w:pStyle w:val="FirstParagraph"/>
      </w:pPr>
      <w:r>
        <w:rPr>
          <w:rStyle w:val="VerbatimChar"/>
        </w:rPr>
        <w:t xml:space="preserve">AITool</w:t>
      </w:r>
      <w:r>
        <w:t xml:space="preserve"> </w:t>
      </w:r>
      <w:r>
        <w:t xml:space="preserve">отвечает за промышленный контракт безопасного запуска AI-инструментов. Модуль хранит и публикует реестр инструментов, политики запуска, схемы входа и выхода, классы побочных эффектов, правила подтверждения, idempotency и диагностический envelope результата.</w:t>
      </w:r>
    </w:p>
    <w:bookmarkStart w:id="9" w:name="границы-ответственности"/>
    <w:p>
      <w:pPr>
        <w:pStyle w:val="Heading2"/>
      </w:pPr>
      <w:r>
        <w:t xml:space="preserve">1.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AITool</w:t>
      </w:r>
      <w:r>
        <w:t xml:space="preserve"> </w:t>
      </w:r>
      <w:r>
        <w:t xml:space="preserve">не реализует бизнес-операции доменных модулей и не выполняет прямую запись в их базы. Для инструментов с побочными эффектами модуль возвращает explainable proposal/dry-run envelope. Реальное применение выполняет модуль-владелец доменной операции после отдельного подтверждения и своих проверок.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как безопасный gate перед tool execution.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отвечает за фоновое выполнение, retry и dead-letter.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права.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отвечают за сквозную диагностику. Доменные модули владеют своими handlers, правилами применения и бизнес-валидацией.</w:t>
      </w:r>
    </w:p>
    <w:bookmarkEnd w:id="9"/>
    <w:bookmarkStart w:id="10" w:name="основные-сущности"/>
    <w:p>
      <w:pPr>
        <w:pStyle w:val="Heading2"/>
      </w:pPr>
      <w:r>
        <w:t xml:space="preserve">2. Основные сущности</w:t>
      </w:r>
    </w:p>
    <w:p>
      <w:pPr>
        <w:pStyle w:val="FirstParagraph"/>
      </w:pPr>
      <w:r>
        <w:rPr>
          <w:rStyle w:val="VerbatimChar"/>
        </w:rPr>
        <w:t xml:space="preserve">AITool</w:t>
      </w:r>
      <w:r>
        <w:t xml:space="preserve"> </w:t>
      </w:r>
      <w:r>
        <w:t xml:space="preserve">описывает один инструмент: стабильный ключ, модуль-владелец, тип выполнения, схемы входа и выхода, требуемые права, класс побочных эффектов, политику подтверждения, idempotency, queue policy, Help и TestA-ссылки.</w:t>
      </w:r>
    </w:p>
    <w:p>
      <w:pPr>
        <w:pStyle w:val="BodyText"/>
      </w:pPr>
      <w:r>
        <w:rPr>
          <w:rStyle w:val="VerbatimChar"/>
        </w:rPr>
        <w:t xml:space="preserve">AIToolPolicy</w:t>
      </w:r>
      <w:r>
        <w:t xml:space="preserve"> </w:t>
      </w:r>
      <w:r>
        <w:t xml:space="preserve">определяет, какие инструменты и классы побочных эффектов можно запускать в конкретном AI-сценарии. Политика может требовать dry-run, idempotency key, подтверждение пользователя, запрет внешних инструментов и запрет отдельных классов данных.</w:t>
      </w:r>
    </w:p>
    <w:p>
      <w:pPr>
        <w:pStyle w:val="BodyText"/>
      </w:pPr>
      <w:r>
        <w:rPr>
          <w:rStyle w:val="VerbatimChar"/>
        </w:rPr>
        <w:t xml:space="preserve">AIToolExecutionEnvelope</w:t>
      </w:r>
      <w:r>
        <w:t xml:space="preserve"> </w:t>
      </w:r>
      <w:r>
        <w:t xml:space="preserve">возвращается из preflight и execution. В нем фиксируются decision, причины отказа, warnings, normalized input, safe payload, trace id, idempotency key, summary побочных эффектов и диагностические коды.</w:t>
      </w:r>
    </w:p>
    <w:bookmarkEnd w:id="10"/>
    <w:bookmarkStart w:id="11" w:name="безопасный-pipeline"/>
    <w:p>
      <w:pPr>
        <w:pStyle w:val="Heading2"/>
      </w:pPr>
      <w:r>
        <w:t xml:space="preserve">3. Безопасный pipeline</w:t>
      </w:r>
    </w:p>
    <w:p>
      <w:pPr>
        <w:pStyle w:val="FirstParagraph"/>
      </w:pPr>
      <w:r>
        <w:t xml:space="preserve">Перед запуском handler-а вызывается</w:t>
      </w:r>
      <w:r>
        <w:t xml:space="preserve"> </w:t>
      </w:r>
      <w:r>
        <w:rPr>
          <w:rStyle w:val="VerbatimChar"/>
        </w:rPr>
        <w:t xml:space="preserve">AITool/PreflightToolExecution</w:t>
      </w:r>
      <w:r>
        <w:t xml:space="preserve">. Он проверяет наличие инструмента, наличие политики, schema input, allowed/denied lists, side effect class, external policy, dry-run, idempotency, Security decision и data classes. Preflight не вызывает модель, handler и доменную запись.</w:t>
      </w:r>
    </w:p>
    <w:p>
      <w:pPr>
        <w:pStyle w:val="BodyText"/>
      </w:pPr>
      <w:r>
        <w:rPr>
          <w:rStyle w:val="VerbatimChar"/>
        </w:rPr>
        <w:t xml:space="preserve">AITool/ExecuteTool</w:t>
      </w:r>
      <w:r>
        <w:t xml:space="preserve"> </w:t>
      </w:r>
      <w:r>
        <w:t xml:space="preserve">сначала выполняет preflight. При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 </w:t>
      </w:r>
      <w:r>
        <w:t xml:space="preserve">возвращается только planned execution. Для read-only инструментов после успешного preflight допускается вызов handler-а через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Для инструментов с побочными эффектами возвращается proposal envelope, а прямое применение не выполняется.</w:t>
      </w:r>
    </w:p>
    <w:bookmarkEnd w:id="11"/>
    <w:bookmarkStart w:id="12" w:name="system-json"/>
    <w:p>
      <w:pPr>
        <w:pStyle w:val="Heading2"/>
      </w:pPr>
      <w:r>
        <w:t xml:space="preserve">4. System JSON</w:t>
      </w:r>
    </w:p>
    <w:p>
      <w:pPr>
        <w:pStyle w:val="FirstParagraph"/>
      </w:pPr>
      <w:r>
        <w:t xml:space="preserve">Системные определения поставляются в</w:t>
      </w:r>
      <w:r>
        <w:t xml:space="preserve"> </w:t>
      </w:r>
      <w:r>
        <w:rPr>
          <w:rStyle w:val="VerbatimChar"/>
        </w:rPr>
        <w:t xml:space="preserve">modules/*/Resources/ai-tools/*.json</w:t>
      </w:r>
      <w:r>
        <w:t xml:space="preserve">. Такой файл может содержать разделы</w:t>
      </w:r>
      <w:r>
        <w:t xml:space="preserve"> </w:t>
      </w:r>
      <w:r>
        <w:rPr>
          <w:rStyle w:val="VerbatimChar"/>
        </w:rPr>
        <w:t xml:space="preserve">tools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policies</w:t>
      </w:r>
      <w:r>
        <w:t xml:space="preserve">. Администраторские записи могут дополнять системные tool definitions, но промышленная политика должна оставаться объяснимой через HealthCheck и TestA.</w:t>
      </w:r>
    </w:p>
    <w:bookmarkEnd w:id="12"/>
    <w:bookmarkStart w:id="13" w:name="healthcheck-и-testa"/>
    <w:p>
      <w:pPr>
        <w:pStyle w:val="Heading2"/>
      </w:pPr>
      <w:r>
        <w:t xml:space="preserve">5. HealthCheck и TestA</w:t>
      </w:r>
    </w:p>
    <w:p>
      <w:pPr>
        <w:pStyle w:val="FirstParagraph"/>
      </w:pPr>
      <w:r>
        <w:rPr>
          <w:rStyle w:val="VerbatimChar"/>
        </w:rPr>
        <w:t xml:space="preserve">AITool/CheckToolHealth</w:t>
      </w:r>
      <w:r>
        <w:t xml:space="preserve"> </w:t>
      </w:r>
      <w:r>
        <w:t xml:space="preserve">проверяет наличие схем входа и выхода, required rights, Help/TestA-ссылок, безопасные defaults, confirmation для write tools и idempotency для операций с побочными эффектами.</w:t>
      </w:r>
    </w:p>
    <w:p>
      <w:pPr>
        <w:pStyle w:val="BodyText"/>
      </w:pPr>
      <w:r>
        <w:t xml:space="preserve">TestA-сценарии модуля покрывают публикацию схемы, наличие реестра инструментов и политик, успешный read-only preflight, отказ неизвестного инструмента, отказ по обязательному input, запрет write tool read-only политикой, dry-run proposal для write tool и диагностический HealthCheck.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AITool</dc:title>
  <dc:creator/>
  <cp:keywords/>
  <dcterms:created xsi:type="dcterms:W3CDTF">2026-10-09T01:15:44Z</dcterms:created>
  <dcterms:modified xsi:type="dcterms:W3CDTF">2026-10-09T01:15:44Z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