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eventbus"/>
    <w:p>
      <w:pPr>
        <w:pStyle w:val="Heading1"/>
      </w:pPr>
      <w:r>
        <w:t xml:space="preserve">Назначение 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используется как общий системный механизм публикации событий и управления их обработкой. Модуль хранит безопасный envelope события, версию схемы, ссылку на доменный объект, trace id, минимальный snapshot, idempotency key и состояние доставки.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не заменяет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и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выполняет тяжелую фоновую работу, доменные модули принимают бизнес-решения, транспортные модули доставляют уже подготовленные сообщения, а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отвечает за надежную фиксацию факта, подписки, deduplication, delivery state и диагностику.</w:t>
      </w:r>
    </w:p>
    <w:p>
      <w:pPr>
        <w:pStyle w:val="BodyText"/>
      </w:pPr>
      <w:r>
        <w:t xml:space="preserve">Первый кодовый срез предоставляет API публикации события, реестр типов событий, реестр подписок, dry-run план доставки, dead-letter и provider-проверку для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EventBus</dc:title>
  <dc:creator/>
  <cp:keywords/>
  <dcterms:created xsi:type="dcterms:W3CDTF">2026-10-08T12:09:00Z</dcterms:created>
  <dcterms:modified xsi:type="dcterms:W3CDTF">2026-10-08T12:09:00Z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