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Данные и представления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анные-и-представления"/>
    <w:p>
      <w:pPr>
        <w:pStyle w:val="Heading1"/>
      </w:pPr>
      <w:r>
        <w:t xml:space="preserve">Данные и представления</w:t>
      </w:r>
    </w:p>
    <w:bookmarkStart w:id="9" w:name="основные-базы"/>
    <w:p>
      <w:pPr>
        <w:pStyle w:val="Heading2"/>
      </w:pPr>
      <w:r>
        <w:t xml:space="preserve">1. Основные базы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9"/>
    <w:bookmarkStart w:id="10" w:name="основные-поля-support"/>
    <w:p>
      <w:pPr>
        <w:pStyle w:val="Heading2"/>
      </w:pPr>
      <w:r>
        <w:t xml:space="preserve">2. Основные поля SUPPORT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0"/>
    <w:bookmarkStart w:id="11" w:name="форматы"/>
    <w:p>
      <w:pPr>
        <w:pStyle w:val="Heading2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и представления</dc:title>
  <dc:creator/>
  <cp:keywords/>
  <dcterms:created xsi:type="dcterms:W3CDTF">2026-10-10T02:42:48Z</dcterms:created>
  <dcterms:modified xsi:type="dcterms:W3CDTF">2026-10-10T02:42:48Z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