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RSBBK</w:t>
      </w:r>
      <w:r>
        <w:t xml:space="preserve"> </w:t>
      </w:r>
      <w:r>
        <w:t xml:space="preserve">обслуживает записи базы указателя ББК, редактор рубрик и получение дерева классификатора для пользовательского интерфейса.</w:t>
      </w:r>
    </w:p>
    <w:bookmarkStart w:id="9" w:name="назначение-rsbbk"/>
    <w:p>
      <w:pPr>
        <w:pStyle w:val="Heading2"/>
      </w:pPr>
      <w:r>
        <w:t xml:space="preserve">Назначение RSBBK</w:t>
      </w:r>
    </w:p>
    <w:p>
      <w:pPr>
        <w:pStyle w:val="FirstParagraph"/>
      </w:pPr>
      <w:r>
        <w:rPr>
          <w:rStyle w:val="VerbatimChar"/>
        </w:rPr>
        <w:t xml:space="preserve">RSBBK</w:t>
      </w:r>
      <w:r>
        <w:t xml:space="preserve"> </w:t>
      </w:r>
      <w:r>
        <w:t xml:space="preserve">является карточным модулем для записей указателя ББК. База задается настройкой</w:t>
      </w:r>
      <w:r>
        <w:t xml:space="preserve"> </w:t>
      </w:r>
      <w:r>
        <w:rPr>
          <w:rStyle w:val="VerbatimChar"/>
        </w:rPr>
        <w:t xml:space="preserve">DBRSBBK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Actions</w:t>
      </w:r>
      <w:r>
        <w:t xml:space="preserve"> </w:t>
      </w:r>
      <w:r>
        <w:rPr>
          <w:rStyle w:val="VerbatimChar"/>
        </w:rPr>
        <w:t xml:space="preserve">GetBbkNodes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GetBbkNodesGunb</w:t>
      </w:r>
      <w:r>
        <w:t xml:space="preserve"> </w:t>
      </w:r>
      <w:r>
        <w:t xml:space="preserve">формируют JSON-деревья рубрик для интерфейса навигации. Для ускорения построения полного дерева используется файловый кеш</w:t>
      </w:r>
      <w:r>
        <w:t xml:space="preserve"> </w:t>
      </w:r>
      <w:r>
        <w:rPr>
          <w:rStyle w:val="VerbatimChar"/>
        </w:rPr>
        <w:t xml:space="preserve">om_shared/datai/rsbbk/rsbbk.jtre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2026-10-07T15:11:31Z</dcterms:created>
  <dcterms:modified xsi:type="dcterms:W3CDTF">2026-10-07T15:11:31Z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