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[I128-2187] Набор форматов, удобных для использования в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96e296fe101e6b38b4e67ad117e11fc88c2302"/>
    <w:p>
      <w:pPr>
        <w:pStyle w:val="Heading1"/>
      </w:pPr>
      <w:r>
        <w:t xml:space="preserve">[I128-2187] Набор форматов, удобных для использования в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JSON-структуры библиографической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параметр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 </w:t>
      </w:r>
      <w:r>
        <w:t xml:space="preserve">дополнен примером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и ссылкой на описание структуры.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справка по формату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Описано, как вызывать формат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когда использовать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какие служебные поля формируются в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 какие блоки берутся из набора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3"/>
    <w:p>
      <w:pPr>
        <w:pStyle w:val="Heading3"/>
      </w:pPr>
      <w:r>
        <w:t xml:space="preserve">1.1. 🔗 Соответствует задача: I128-1943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[I128-1943]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[I128-2187] Набор форматов, удобных для использования в API</dc:title>
  <dc:creator/>
  <cp:keywords/>
  <dcterms:created xsi:type="dcterms:W3CDTF">2026-10-06T02:57:30Z</dcterms:created>
  <dcterms:modified xsi:type="dcterms:W3CDTF">2026-10-06T02:57:30Z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