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[I128-2793] Ввести TraceContext для сквозной трассировки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Xff26792c859d193edf1e5371e5440a8438416c4"/>
    <w:p>
      <w:pPr>
        <w:pStyle w:val="Heading1"/>
      </w:pPr>
      <w:r>
        <w:t xml:space="preserve">[I128-2793] Ввести TraceContext для сквозной трассировки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12:28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Ввести общесистемный контракт TraceContext для сквозной трассировки операций в ИРБИС 128: один trace id должен проходить через UI, API, workflow-переход, событие, фоновое задание, транспорт, лог, HealthCheck и TestA evidence.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TraceContext не является отдельным журналом событий, audit-хранилищем, очередью или доменным модулем. Это легкий платформенный механизм, который позволяет разным модулям связать свои собственные записи диагностики вокруг одной пользовательской или системной операции.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Реализовать создание нового trace id для пользовательских действий, API-вызовов, фоновых операций и системных задач.</w:t>
      </w:r>
    </w:p>
    <w:p>
      <w:pPr>
        <w:numPr>
          <w:ilvl w:val="0"/>
          <w:numId w:val="1002"/>
        </w:numPr>
      </w:pPr>
      <w:r>
        <w:t xml:space="preserve">Реализовать прием существующего trace id из безопасных источников: HTTP-заголовок, параметр внутреннего API, Queue job, EventBus event, CLI/CI/TestA context.</w:t>
      </w:r>
    </w:p>
    <w:p>
      <w:pPr>
        <w:numPr>
          <w:ilvl w:val="0"/>
          <w:numId w:val="1002"/>
        </w:numPr>
      </w:pPr>
      <w:r>
        <w:t xml:space="preserve">Реализовать нормализацию и валидацию trace id: формат должен быть стабильным, коротким для логов, безопасным и не содержать персональные данные, секреты или предметную семантику.</w:t>
      </w:r>
    </w:p>
    <w:p>
      <w:pPr>
        <w:numPr>
          <w:ilvl w:val="0"/>
          <w:numId w:val="1002"/>
        </w:numPr>
      </w:pPr>
      <w:r>
        <w:t xml:space="preserve">Реализовать propagation trace id через основные runtime</w:t>
      </w:r>
      <w:r>
        <w:rPr>
          <w:strike/>
        </w:rPr>
        <w:t xml:space="preserve">границы: controller/action, ObjectModule, workflow transition, post</w:t>
      </w:r>
      <w:r>
        <w:t xml:space="preserve">function, EventBus publication, Queue job, transport delivery, file operation, log entry, HealthCheck run и TestA report.</w:t>
      </w:r>
    </w:p>
    <w:p>
      <w:pPr>
        <w:numPr>
          <w:ilvl w:val="0"/>
          <w:numId w:val="1002"/>
        </w:numPr>
      </w:pPr>
      <w:r>
        <w:t xml:space="preserve">Ввести DTO или сервис TraceContext с понятным API: получить текущий trace id, создать child/scope, передать в downstream operation, сериализовать в безопасный diagnostic payload.</w:t>
      </w:r>
    </w:p>
    <w:p>
      <w:pPr>
        <w:numPr>
          <w:ilvl w:val="0"/>
          <w:numId w:val="1002"/>
        </w:numPr>
      </w:pPr>
      <w:r>
        <w:t xml:space="preserve">Ввести provider-контракт TraceDiagnosticProvider: модуль может вернуть безопасный диагностический срез по trace id, не раскрывая скрытые поля и секреты.</w:t>
      </w:r>
    </w:p>
    <w:p>
      <w:pPr>
        <w:numPr>
          <w:ilvl w:val="0"/>
          <w:numId w:val="1002"/>
        </w:numPr>
      </w:pPr>
      <w:r>
        <w:t xml:space="preserve">Реализовать fallback для legacy-кода: если trace id отсутствует, система создает новый или помечает диагностический срез как untraced без падения пользовательского действия.</w:t>
      </w:r>
    </w:p>
    <w:p>
      <w:pPr>
        <w:numPr>
          <w:ilvl w:val="0"/>
          <w:numId w:val="1002"/>
        </w:numPr>
      </w:pPr>
      <w:r>
        <w:t xml:space="preserve">Реализовать masking/redaction для вывода trace diagnostics.</w:t>
      </w:r>
    </w:p>
    <w:p>
      <w:pPr>
        <w:numPr>
          <w:ilvl w:val="0"/>
          <w:numId w:val="1002"/>
        </w:numPr>
      </w:pPr>
      <w:r>
        <w:t xml:space="preserve">Подготовить базовую интеграцию с логами и диагностическими отчетами, чтобы администратор мог искать ошибку по trace id.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TraceContext не должен хранить постоянную доменную историю операций.</w:t>
      </w:r>
    </w:p>
    <w:p>
      <w:pPr>
        <w:numPr>
          <w:ilvl w:val="0"/>
          <w:numId w:val="1002"/>
        </w:numPr>
      </w:pPr>
      <w:r>
        <w:t xml:space="preserve">TraceContext не должен заменять 907, EventBus, Queue, Security audit или системные логи.</w:t>
      </w:r>
    </w:p>
    <w:p>
      <w:pPr>
        <w:numPr>
          <w:ilvl w:val="0"/>
          <w:numId w:val="1002"/>
        </w:numPr>
      </w:pPr>
      <w:r>
        <w:t xml:space="preserve">Предметные модули сами решают, какие безопасные diagnostic slices они могут отдать по trace id.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действие пользователя получает trace id и этот id виден во всех связанных runtime-артефактах, которые поддерживают TraceContext.</w:t>
      </w:r>
    </w:p>
    <w:p>
      <w:pPr>
        <w:numPr>
          <w:ilvl w:val="0"/>
          <w:numId w:val="1002"/>
        </w:numPr>
      </w:pPr>
      <w:r>
        <w:t xml:space="preserve">Повторное выполнение job или delivery attempt сохраняет исходный trace id и при необходимости добавляет внутренний attempt/scope id.</w:t>
      </w:r>
    </w:p>
    <w:p>
      <w:pPr>
        <w:numPr>
          <w:ilvl w:val="0"/>
          <w:numId w:val="1002"/>
        </w:numPr>
      </w:pPr>
      <w:r>
        <w:t xml:space="preserve">По trace id можно получить безопасный диагностический отчет без персональных данных, секретов и скрытых полей.</w:t>
      </w:r>
    </w:p>
    <w:p>
      <w:pPr>
        <w:numPr>
          <w:ilvl w:val="0"/>
          <w:numId w:val="1002"/>
        </w:numPr>
      </w:pPr>
      <w:r>
        <w:t xml:space="preserve">Отсутствие trace id в legacy-вызове не ломает выполнение.</w:t>
      </w:r>
    </w:p>
    <w:p>
      <w:pPr>
        <w:numPr>
          <w:ilvl w:val="0"/>
          <w:numId w:val="1002"/>
        </w:numPr>
      </w:pPr>
      <w:r>
        <w:t xml:space="preserve">TraceContext может использоваться в TestA как evidence key для сквозных сценариев.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 trace id, приема внешнего trace id, propagation через workflow/EventBus/Queue, fallback, masking и диагностического поиска. В Help для разработчиков нужно описать API TraceContext, правила передачи и ограничения безопасности.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TraceContext как общесистемного контракта сквозной трассировки.</w:t>
      </w:r>
    </w:p>
    <w:p>
      <w:pPr>
        <w:pStyle w:val="BodyText"/>
      </w:pPr>
      <w:r>
        <w:t xml:space="preserve">Что входит:</w:t>
      </w:r>
      <w:r>
        <w:t xml:space="preserve"> </w:t>
      </w:r>
      <w:r>
        <w:t xml:space="preserve">- новый модуль TraceContext без доменной логики Tasks/Workflow; он создает, нормализует и переносит trace id;</w:t>
      </w:r>
      <w:r>
        <w:t xml:space="preserve"> </w:t>
      </w:r>
      <w:r>
        <w:t xml:space="preserve">- контекст запроса и scope id для вложенных операций;</w:t>
      </w:r>
      <w:r>
        <w:t xml:space="preserve"> </w:t>
      </w:r>
      <w:r>
        <w:t xml:space="preserve">- прием входящего trace id только из доверенного carrier, иначе входящее значение сохраняется как external correlation id;</w:t>
      </w:r>
      <w:r>
        <w:t xml:space="preserve"> </w:t>
      </w:r>
      <w:r>
        <w:t xml:space="preserve">- diagnostic provider registry и безопасный TraceDiagnosticReport;</w:t>
      </w:r>
      <w:r>
        <w:t xml:space="preserve"> </w:t>
      </w:r>
      <w:r>
        <w:t xml:space="preserve">- автоматическая инициализация HTTP</w:t>
      </w:r>
      <w:r>
        <w:rPr>
          <w:strike/>
        </w:rPr>
        <w:t xml:space="preserve">request context и response header X</w:t>
      </w:r>
      <w:r>
        <w:t xml:space="preserve">I128</w:t>
      </w:r>
      <w:r>
        <w:rPr>
          <w:strike/>
        </w:rPr>
        <w:t xml:space="preserve">Trace</w:t>
      </w:r>
      <w:r>
        <w:t xml:space="preserve">Id;</w:t>
      </w:r>
      <w:r>
        <w:t xml:space="preserve"> </w:t>
      </w:r>
      <w:r>
        <w:t xml:space="preserve">- добавление trace id в Log::Write без автозагрузки TraceContext из Log;</w:t>
      </w:r>
      <w:r>
        <w:t xml:space="preserve"> </w:t>
      </w:r>
      <w:r>
        <w:t xml:space="preserve">- Help</w:t>
      </w:r>
      <w:r>
        <w:rPr>
          <w:strike/>
        </w:rPr>
        <w:t xml:space="preserve">страницы и TestA</w:t>
      </w:r>
      <w:r>
        <w:t xml:space="preserve">сценарий модуля.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initsystem.php, modules/Log/api.php и всех файлов modules/TraceContext;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HTTP: module=TraceContext, total=10, passed=10, failed=0;</w:t>
      </w:r>
      <w:r>
        <w:t xml:space="preserve"> </w:t>
      </w:r>
      <w:r>
        <w:t xml:space="preserve">- ручная HTTP</w:t>
      </w:r>
      <w:r>
        <w:rPr>
          <w:strike/>
        </w:rPr>
        <w:t xml:space="preserve">проверка: irbis128.local возвращает заголовок X</w:t>
      </w:r>
      <w:r>
        <w:t xml:space="preserve">I128</w:t>
      </w:r>
      <w:r>
        <w:rPr>
          <w:strike/>
        </w:rPr>
        <w:t xml:space="preserve">Trace</w:t>
      </w:r>
      <w:r>
        <w:t xml:space="preserve">Id.</w:t>
      </w:r>
    </w:p>
    <w:bookmarkStart w:id="6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4"/>
    <w:p>
      <w:pPr>
        <w:pStyle w:val="Heading3"/>
      </w:pPr>
      <w:r>
        <w:t xml:space="preserve">1.1. 🔗 blocks: I128-2794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5"/>
    <w:p>
      <w:pPr>
        <w:pStyle w:val="Heading3"/>
      </w:pPr>
      <w:r>
        <w:t xml:space="preserve">1.2. 🔗 blocks: I128-2795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6"/>
    <w:p>
      <w:pPr>
        <w:pStyle w:val="Heading3"/>
      </w:pPr>
      <w:r>
        <w:t xml:space="preserve">1.3. 🔗 blocks: I128-2796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6"/>
    <w:p>
      <w:pPr>
        <w:pStyle w:val="Heading3"/>
      </w:pPr>
      <w:r>
        <w:t xml:space="preserve">1.6. 🔗 blocks: I128-2806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7"/>
    <w:p>
      <w:pPr>
        <w:pStyle w:val="Heading3"/>
      </w:pPr>
      <w:r>
        <w:t xml:space="preserve">1.7. 🔗 blocks: I128-2807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8"/>
    <w:p>
      <w:pPr>
        <w:pStyle w:val="Heading3"/>
      </w:pPr>
      <w:r>
        <w:t xml:space="preserve">1.8. 🔗 blocks: I128-2808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0"/>
    <w:p>
      <w:pPr>
        <w:pStyle w:val="Heading3"/>
      </w:pPr>
      <w:r>
        <w:t xml:space="preserve">1.10. 🔗 blocks: I128-2810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1"/>
    <w:p>
      <w:pPr>
        <w:pStyle w:val="Heading3"/>
      </w:pPr>
      <w:r>
        <w:t xml:space="preserve">1.11. 🔗 blocks: I128-2811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0"/>
    <w:p>
      <w:pPr>
        <w:pStyle w:val="Heading3"/>
      </w:pPr>
      <w:r>
        <w:t xml:space="preserve">1.14. 🔗 blocks: I128-2820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1"/>
    <w:p>
      <w:pPr>
        <w:pStyle w:val="Heading3"/>
      </w:pPr>
      <w:r>
        <w:t xml:space="preserve">1.15. 🔗 blocks: I128-2821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2"/>
    <w:p>
      <w:pPr>
        <w:pStyle w:val="Heading3"/>
      </w:pPr>
      <w:r>
        <w:t xml:space="preserve">1.16. 🔗 blocks: I128-2822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4"/>
    <w:p>
      <w:pPr>
        <w:pStyle w:val="Heading3"/>
      </w:pPr>
      <w:r>
        <w:t xml:space="preserve">1.17. 🔗 blocks: I128-2824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7"/>
    <w:p>
      <w:pPr>
        <w:pStyle w:val="Heading3"/>
      </w:pPr>
      <w:r>
        <w:t xml:space="preserve">1.18. 🔗 blocks: I128-2827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30"/>
    <w:p>
      <w:pPr>
        <w:pStyle w:val="Heading3"/>
      </w:pPr>
      <w:r>
        <w:t xml:space="preserve">1.19. 🔗 blocks: I128-2830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31"/>
    <w:p>
      <w:pPr>
        <w:pStyle w:val="Heading3"/>
      </w:pPr>
      <w:r>
        <w:t xml:space="preserve">1.20. 🔗 blocks: I128-2831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32"/>
    <w:p>
      <w:pPr>
        <w:pStyle w:val="Heading3"/>
      </w:pPr>
      <w:r>
        <w:t xml:space="preserve">1.21. 🔗 blocks: I128-2832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3"/>
    <w:p>
      <w:pPr>
        <w:pStyle w:val="Heading3"/>
      </w:pPr>
      <w:r>
        <w:t xml:space="preserve">1.22. 🔗 blocks: I128-2833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4"/>
    <w:p>
      <w:pPr>
        <w:pStyle w:val="Heading3"/>
      </w:pPr>
      <w:r>
        <w:t xml:space="preserve">1.23. 🔗 blocks: I128-2834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5"/>
    <w:p>
      <w:pPr>
        <w:pStyle w:val="Heading3"/>
      </w:pPr>
      <w:r>
        <w:t xml:space="preserve">1.24. 🔗 blocks: I128-2835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6"/>
    <w:p>
      <w:pPr>
        <w:pStyle w:val="Heading3"/>
      </w:pPr>
      <w:r>
        <w:t xml:space="preserve">1.25. 🔗 blocks: I128-2836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7"/>
    <w:p>
      <w:pPr>
        <w:pStyle w:val="Heading3"/>
      </w:pPr>
      <w:r>
        <w:t xml:space="preserve">1.26. 🔗 blocks: I128-2837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8"/>
    <w:p>
      <w:pPr>
        <w:pStyle w:val="Heading3"/>
      </w:pPr>
      <w:r>
        <w:t xml:space="preserve">1.27. 🔗 blocks: I128-2838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9"/>
    <w:p>
      <w:pPr>
        <w:pStyle w:val="Heading3"/>
      </w:pPr>
      <w:r>
        <w:t xml:space="preserve">1.28. 🔗 blocks: I128-2839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40"/>
    <w:p>
      <w:pPr>
        <w:pStyle w:val="Heading3"/>
      </w:pPr>
      <w:r>
        <w:t xml:space="preserve">1.29. 🔗 blocks: I128-2840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relates-to-i128-2792"/>
    <w:p>
      <w:pPr>
        <w:pStyle w:val="Heading3"/>
      </w:pPr>
      <w:r>
        <w:t xml:space="preserve">1.30. 🔗 relates to: I128-2792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7" Target="?id=Help/Show&amp;m=Help/GeneralDescription/WhatsNew/I128/TaskInfo/I128-2792/README" TargetMode="External" /><Relationship Type="http://schemas.openxmlformats.org/officeDocument/2006/relationships/hyperlink" Id="rId9" Target="?id=Help/Show&amp;m=Help/GeneralDescription/WhatsNew/I128/TaskInfo/I128-2794/README" TargetMode="External" /><Relationship Type="http://schemas.openxmlformats.org/officeDocument/2006/relationships/hyperlink" Id="rId11" Target="?id=Help/Show&amp;m=Help/GeneralDescription/WhatsNew/I128/TaskInfo/I128-2795/README" TargetMode="External" /><Relationship Type="http://schemas.openxmlformats.org/officeDocument/2006/relationships/hyperlink" Id="rId13" Target="?id=Help/Show&amp;m=Help/GeneralDescription/WhatsNew/I128/TaskInfo/I128-2796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06/README" TargetMode="External" /><Relationship Type="http://schemas.openxmlformats.org/officeDocument/2006/relationships/hyperlink" Id="rId21" Target="?id=Help/Show&amp;m=Help/GeneralDescription/WhatsNew/I128/TaskInfo/I128-2807/README" TargetMode="External" /><Relationship Type="http://schemas.openxmlformats.org/officeDocument/2006/relationships/hyperlink" Id="rId23" Target="?id=Help/Show&amp;m=Help/GeneralDescription/WhatsNew/I128/TaskInfo/I128-2808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0/README" TargetMode="External" /><Relationship Type="http://schemas.openxmlformats.org/officeDocument/2006/relationships/hyperlink" Id="rId29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35" Target="?id=Help/Show&amp;m=Help/GeneralDescription/WhatsNew/I128/TaskInfo/I128-2820/README" TargetMode="External" /><Relationship Type="http://schemas.openxmlformats.org/officeDocument/2006/relationships/hyperlink" Id="rId37" Target="?id=Help/Show&amp;m=Help/GeneralDescription/WhatsNew/I128/TaskInfo/I128-2821/README" TargetMode="External" /><Relationship Type="http://schemas.openxmlformats.org/officeDocument/2006/relationships/hyperlink" Id="rId39" Target="?id=Help/Show&amp;m=Help/GeneralDescription/WhatsNew/I128/TaskInfo/I128-2822/README" TargetMode="External" /><Relationship Type="http://schemas.openxmlformats.org/officeDocument/2006/relationships/hyperlink" Id="rId41" Target="?id=Help/Show&amp;m=Help/GeneralDescription/WhatsNew/I128/TaskInfo/I128-2824/README" TargetMode="External" /><Relationship Type="http://schemas.openxmlformats.org/officeDocument/2006/relationships/hyperlink" Id="rId43" Target="?id=Help/Show&amp;m=Help/GeneralDescription/WhatsNew/I128/TaskInfo/I128-2827/README" TargetMode="External" /><Relationship Type="http://schemas.openxmlformats.org/officeDocument/2006/relationships/hyperlink" Id="rId45" Target="?id=Help/Show&amp;m=Help/GeneralDescription/WhatsNew/I128/TaskInfo/I128-2830/README" TargetMode="External" /><Relationship Type="http://schemas.openxmlformats.org/officeDocument/2006/relationships/hyperlink" Id="rId47" Target="?id=Help/Show&amp;m=Help/GeneralDescription/WhatsNew/I128/TaskInfo/I128-2831/README" TargetMode="External" /><Relationship Type="http://schemas.openxmlformats.org/officeDocument/2006/relationships/hyperlink" Id="rId49" Target="?id=Help/Show&amp;m=Help/GeneralDescription/WhatsNew/I128/TaskInfo/I128-2832/README" TargetMode="External" /><Relationship Type="http://schemas.openxmlformats.org/officeDocument/2006/relationships/hyperlink" Id="rId51" Target="?id=Help/Show&amp;m=Help/GeneralDescription/WhatsNew/I128/TaskInfo/I128-2833/README" TargetMode="External" /><Relationship Type="http://schemas.openxmlformats.org/officeDocument/2006/relationships/hyperlink" Id="rId53" Target="?id=Help/Show&amp;m=Help/GeneralDescription/WhatsNew/I128/TaskInfo/I128-2834/README" TargetMode="External" /><Relationship Type="http://schemas.openxmlformats.org/officeDocument/2006/relationships/hyperlink" Id="rId55" Target="?id=Help/Show&amp;m=Help/GeneralDescription/WhatsNew/I128/TaskInfo/I128-2835/README" TargetMode="External" /><Relationship Type="http://schemas.openxmlformats.org/officeDocument/2006/relationships/hyperlink" Id="rId57" Target="?id=Help/Show&amp;m=Help/GeneralDescription/WhatsNew/I128/TaskInfo/I128-2836/README" TargetMode="External" /><Relationship Type="http://schemas.openxmlformats.org/officeDocument/2006/relationships/hyperlink" Id="rId59" Target="?id=Help/Show&amp;m=Help/GeneralDescription/WhatsNew/I128/TaskInfo/I128-2837/README" TargetMode="External" /><Relationship Type="http://schemas.openxmlformats.org/officeDocument/2006/relationships/hyperlink" Id="rId61" Target="?id=Help/Show&amp;m=Help/GeneralDescription/WhatsNew/I128/TaskInfo/I128-2838/README" TargetMode="External" /><Relationship Type="http://schemas.openxmlformats.org/officeDocument/2006/relationships/hyperlink" Id="rId63" Target="?id=Help/Show&amp;m=Help/GeneralDescription/WhatsNew/I128/TaskInfo/I128-2839/README" TargetMode="External" /><Relationship Type="http://schemas.openxmlformats.org/officeDocument/2006/relationships/hyperlink" Id="rId6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[I128-2793] Ввести TraceContext для сквозной трассировки операций</dc:title>
  <dc:creator/>
  <cp:keywords/>
  <dcterms:created xsi:type="dcterms:W3CDTF">2026-10-06T04:38:15Z</dcterms:created>
  <dcterms:modified xsi:type="dcterms:W3CDTF">2026-10-06T04:38:15Z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