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[I128-2389] Документировать действия явной паузы и запуска очереди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30230ad2f78ccd4e260ec010e74b6b859a3cc1"/>
    <w:p>
      <w:pPr>
        <w:pStyle w:val="Heading1"/>
      </w:pPr>
      <w:r>
        <w:t xml:space="preserve">[I128-2389] Документировать действия явной паузы и запуска очереди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15:17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Queue/AdminGuide/Monitoring</w:t>
      </w:r>
      <w:r>
        <w:t xml:space="preserve"> </w:t>
      </w:r>
      <w:r>
        <w:t xml:space="preserve">- в разделе управления состоянием очереди добавлено описание прямых действий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Документация уточняет разницу между кнопкой-переключателем на панели мониторинга и прямыми действиями для автоматизированных сценариев: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гарантированно переводит очередь в состояние паузы, а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гарантированно возобновляет обработку задач.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70"/>
    <w:p>
      <w:pPr>
        <w:pStyle w:val="Heading3"/>
      </w:pPr>
      <w:r>
        <w:t xml:space="preserve">1.1. 🔗 Соответствует задача: I128-2370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[I128-2370]</w:t>
        </w:r>
      </w:hyperlink>
      <w:r>
        <w:t xml:space="preserve"> </w:t>
      </w:r>
      <w:r>
        <w:t xml:space="preserve">Явное управление состоянием паузы в очереди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[I128-2389] Документировать действия явной паузы и запуска очереди задач</dc:title>
  <dc:creator/>
  <cp:keywords/>
  <dcterms:created xsi:type="dcterms:W3CDTF">2026-10-06T00:51:34Z</dcterms:created>
  <dcterms:modified xsi:type="dcterms:W3CDTF">2026-10-06T00:51:34Z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