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[I128-2791] Расширить WorkflowScreen/WorkflowView для публичных ws-форм и представлений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X494d6fb4f5bf44054c53a369abaf2b9a2ba6320"/>
    <w:p>
      <w:pPr>
        <w:pStyle w:val="Heading1"/>
      </w:pPr>
      <w:r>
        <w:t xml:space="preserve">[I128-2791] Расширить WorkflowScreen/WorkflowView для публичных ws-форм и представлений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12:29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Расширить WorkflowScreen и WorkflowView так, чтобы они могли строить публичные и внутренние формы, списки и карточки объектов workflow-проекта по конфигурации, без показа обычному пользователю редактора he3 и без частной верстки в предметных модулях.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Пользовательские сценарии вроде создания обращения, просмотра списка своих объектов, просмотра карточки и выполнения действия должны настраиваться на уровне WorkflowScreen/WorkflowView. Предметный модуль задает тексты, тип записи, маршрутизацию и доменные post-functions, но базовый renderer, draft, apply, безопасность и маршруты должны быть общими.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Ввести модель WorkflowScreen как конфигурируемого экрана ввода на базе ws: экран имеет стабильный ключ, название, версию, область применения, набор поддерживаемых методов ввода и настройки публикации.</w:t>
      </w:r>
    </w:p>
    <w:p>
      <w:pPr>
        <w:numPr>
          <w:ilvl w:val="0"/>
          <w:numId w:val="1002"/>
        </w:numPr>
      </w:pPr>
      <w:r>
        <w:t xml:space="preserve">Реализовать публичный renderer ws, который показывает обычную HTML-форму, а не he3. Renderer должен поддерживать ограниченный и безопасный набор методов ввода, достаточный для пользовательских форм.</w:t>
      </w:r>
    </w:p>
    <w:p>
      <w:pPr>
        <w:numPr>
          <w:ilvl w:val="0"/>
          <w:numId w:val="1002"/>
        </w:numPr>
      </w:pPr>
      <w:r>
        <w:t xml:space="preserve">Расширить семантику методов ввода 128001 и 128002: настройки таких полей должны задаваться в DopInf в JSON, чтобы форма могла штатно сохраняться без предварительного заполнения техническими форматами.</w:t>
      </w:r>
    </w:p>
    <w:p>
      <w:pPr>
        <w:numPr>
          <w:ilvl w:val="0"/>
          <w:numId w:val="1002"/>
        </w:numPr>
      </w:pPr>
      <w:r>
        <w:t xml:space="preserve">Реализовать WorkflowScreenDraft: временное состояние формы, связанное с версией экрана, пользователем или публичной сессией, вложениями и сроком жизни.</w:t>
      </w:r>
    </w:p>
    <w:p>
      <w:pPr>
        <w:numPr>
          <w:ilvl w:val="0"/>
          <w:numId w:val="1002"/>
        </w:numPr>
      </w:pPr>
      <w:r>
        <w:t xml:space="preserve">Реализовать штатный apply данных формы в запись через общий workflow/apply-контракт и стандартное сохранение записи, без частного маппинга полей внутри предметного модуля.</w:t>
      </w:r>
    </w:p>
    <w:p>
      <w:pPr>
        <w:numPr>
          <w:ilvl w:val="0"/>
          <w:numId w:val="1002"/>
        </w:numPr>
      </w:pPr>
      <w:r>
        <w:t xml:space="preserve">Поддержать загрузку файлов через TemporaryFiles с последующим переносом в постоянное хранилище FT после успешного сохранения.</w:t>
      </w:r>
    </w:p>
    <w:p>
      <w:pPr>
        <w:numPr>
          <w:ilvl w:val="0"/>
          <w:numId w:val="1002"/>
        </w:numPr>
      </w:pPr>
      <w:r>
        <w:t xml:space="preserve">Ввести модель WorkflowView для конфигурируемых списков и карточек: заголовок, route, фильтр, колонки, сортировка, пагинация, действия, карточка элемента и варианты отображения.</w:t>
      </w:r>
    </w:p>
    <w:p>
      <w:pPr>
        <w:numPr>
          <w:ilvl w:val="0"/>
          <w:numId w:val="1002"/>
        </w:numPr>
      </w:pPr>
      <w:r>
        <w:t xml:space="preserve">Поддержать варианты WorkflowView для desktop, tablet, mobile, print и embed так, чтобы вариант не расширял права пользователя и не дублировал независимую логику.</w:t>
      </w:r>
    </w:p>
    <w:p>
      <w:pPr>
        <w:numPr>
          <w:ilvl w:val="0"/>
          <w:numId w:val="1002"/>
        </w:numPr>
      </w:pPr>
      <w:r>
        <w:t xml:space="preserve">Поддержать страницы списка и страницы карточки объекта workflow-проекта, которые могут заменить частные страницы ShowWorker, ShowMyWorker, ShowDone, FAQ и аналогичные страницы предметных модулей.</w:t>
      </w:r>
    </w:p>
    <w:p>
      <w:pPr>
        <w:numPr>
          <w:ilvl w:val="0"/>
          <w:numId w:val="1002"/>
        </w:numPr>
      </w:pPr>
      <w:r>
        <w:t xml:space="preserve">Реализовать понятные ошибки для недоступной формы, устаревшей версии draft, нарушения прав, отсутствующего маршрута, ошибки вложения и ошибки сохранения.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WorkflowScreen/WorkflowView не должны содержать предметную логику Tasks, VirtualRef или конкретного типа записи.</w:t>
      </w:r>
    </w:p>
    <w:p>
      <w:pPr>
        <w:numPr>
          <w:ilvl w:val="0"/>
          <w:numId w:val="1002"/>
        </w:numPr>
      </w:pPr>
      <w:r>
        <w:t xml:space="preserve">Renderer не должен исполнять произвольный HTML, JavaScript, серверные команды или небезопасные методы ввода из ws.</w:t>
      </w:r>
    </w:p>
    <w:p>
      <w:pPr>
        <w:numPr>
          <w:ilvl w:val="0"/>
          <w:numId w:val="1002"/>
        </w:numPr>
      </w:pPr>
      <w:r>
        <w:t xml:space="preserve">Проверка прав на форму, view, поле, действие и вложение должна выполняться через Security.</w:t>
      </w:r>
    </w:p>
    <w:p>
      <w:pPr>
        <w:numPr>
          <w:ilvl w:val="0"/>
          <w:numId w:val="1002"/>
        </w:numPr>
      </w:pPr>
      <w:r>
        <w:t xml:space="preserve">Валидация структуры формы и готовности публикации должна быть доступна через HealthCheck.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Публичный пользователь может заполнить форму, созданную из ws, не видя he3.</w:t>
      </w:r>
    </w:p>
    <w:p>
      <w:pPr>
        <w:numPr>
          <w:ilvl w:val="0"/>
          <w:numId w:val="1002"/>
        </w:numPr>
      </w:pPr>
      <w:r>
        <w:t xml:space="preserve">Внутренний пользователь может открыть форму действия workflow, заполнить поля, прикрепить файлы и выполнить переход штатным механизмом.</w:t>
      </w:r>
    </w:p>
    <w:p>
      <w:pPr>
        <w:numPr>
          <w:ilvl w:val="0"/>
          <w:numId w:val="1002"/>
        </w:numPr>
      </w:pPr>
      <w:r>
        <w:t xml:space="preserve">Изменение версии ws не ломает уже открытый draft: система либо применяет совместимое сохранение, либо показывает понятную ошибку.</w:t>
      </w:r>
    </w:p>
    <w:p>
      <w:pPr>
        <w:numPr>
          <w:ilvl w:val="0"/>
          <w:numId w:val="1002"/>
        </w:numPr>
      </w:pPr>
      <w:r>
        <w:t xml:space="preserve">Список объектов строится из WorkflowView с колонками, фильтром, сортировкой, пагинацией и действиями без частной разметки предметного модуля.</w:t>
      </w:r>
    </w:p>
    <w:p>
      <w:pPr>
        <w:numPr>
          <w:ilvl w:val="0"/>
          <w:numId w:val="1002"/>
        </w:numPr>
      </w:pPr>
      <w:r>
        <w:t xml:space="preserve">Страница карточки объекта строится по конфигурации и показывает доступные workflow-действия с учетом прав.</w:t>
      </w:r>
    </w:p>
    <w:p>
      <w:pPr>
        <w:numPr>
          <w:ilvl w:val="0"/>
          <w:numId w:val="1002"/>
        </w:numPr>
      </w:pPr>
      <w:r>
        <w:t xml:space="preserve">Mobile/print/embed варианты не раскрывают скрытые поля и не дают дополнительных действий.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TestA-сценарии для render/apply/draft, public form, internal action screen, upload staging, устаревшей версии формы, прав на поля, маршрутов view, пагинации и вариантов отображения. В Help должны быть описаны настройка экранов, представлений, публичных форм, маршрутов и безопасных методов ввода.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Срез по I128-2791.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WorkflowScreen получил публичные настройки screen: scope, version, publicEnabled, publicSupportedWidgets, draftTtl.</w:t>
      </w:r>
      <w:r>
        <w:t xml:space="preserve"> </w:t>
      </w:r>
      <w:r>
        <w:t xml:space="preserve">- Добавлен ObjectDataWorkflowScreenDraft с payload, TTL и диагностическими 1288-индексами.</w:t>
      </w:r>
      <w:r>
        <w:t xml:space="preserve"> </w:t>
      </w:r>
      <w:r>
        <w:t xml:space="preserve">- RenderPublicForm и ApplyPublicFormToRecord используют общий ValidatePublicFormSchema и ограниченный whitelist input methods.</w:t>
      </w:r>
      <w:r>
        <w:t xml:space="preserve"> </w:t>
      </w:r>
      <w:r>
        <w:t xml:space="preserve">- WorkflowView получил description, canonicalRoute и variants для desktop/tablet/mobile/print/embed без расширения прав.</w:t>
      </w:r>
      <w:r>
        <w:t xml:space="preserve"> </w:t>
      </w:r>
      <w:r>
        <w:t xml:space="preserve">- Добавлен универсальный page wrapper WorkflowView/ShowCreate; ShowList/ShowRecord приведены к TestA structural contract.</w:t>
      </w:r>
      <w:r>
        <w:t xml:space="preserve"> </w:t>
      </w:r>
      <w:r>
        <w:t xml:space="preserve">- System JSON import/sync поддерживает новые поля screen/view; системный VirtualRef VREF ask</w:t>
      </w:r>
      <w:r>
        <w:rPr>
          <w:strike/>
        </w:rPr>
        <w:t xml:space="preserve">screen разрешен как публичная create</w:t>
      </w:r>
      <w:r>
        <w:t xml:space="preserve">форма.</w:t>
      </w:r>
      <w:r>
        <w:t xml:space="preserve"> </w:t>
      </w:r>
      <w:r>
        <w:t xml:space="preserve">- Help обновлен для WorkflowScreen и WorkflowView.</w:t>
      </w:r>
    </w:p>
    <w:p>
      <w:pPr>
        <w:pStyle w:val="BodyText"/>
      </w:pPr>
      <w:r>
        <w:t xml:space="preserve">Границы среза:</w:t>
      </w:r>
      <w:r>
        <w:t xml:space="preserve"> </w:t>
      </w:r>
      <w:r>
        <w:t xml:space="preserve">- Полный storage pipeline TemporaryFiles</w:t>
      </w:r>
      <w:r>
        <w:t xml:space="preserve"> </w:t>
      </w:r>
      <w:r>
        <w:rPr>
          <w:strike/>
        </w:rPr>
        <w:t xml:space="preserve">&gt; FT остается внешним контрактом I128</w:t>
      </w:r>
      <w:r>
        <w:t xml:space="preserve">2796; текущий apply использует штатные storage-binding правила he3 для полей 128001/128002.</w:t>
      </w:r>
      <w:r>
        <w:t xml:space="preserve"> </w:t>
      </w:r>
      <w:r>
        <w:t xml:space="preserve">- WorkflowFilter/materialized filters остаются в I128-2809.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git diff –check: ok.</w:t>
      </w:r>
      <w:r>
        <w:t xml:space="preserve"> </w:t>
      </w:r>
      <w:r>
        <w:t xml:space="preserve">- php -l по измененным api.php, __call, page и TestA файлам: ok.</w:t>
      </w:r>
      <w:r>
        <w:t xml:space="preserve"> </w:t>
      </w:r>
      <w:r>
        <w:t xml:space="preserve">- TestA WorkflowScreen safe</w:t>
      </w:r>
      <w:r>
        <w:rPr>
          <w:strike/>
        </w:rPr>
        <w:t xml:space="preserve">read: 20260904104011</w:t>
      </w:r>
      <w:r>
        <w:t xml:space="preserve">2728cb63, total=3, passed=3.</w:t>
      </w:r>
      <w:r>
        <w:t xml:space="preserve"> </w:t>
      </w:r>
      <w:r>
        <w:t xml:space="preserve">- TestA WorkflowScreen structural: 20260904103822-3f6b7783, total=7, passed=7.</w:t>
      </w:r>
      <w:r>
        <w:t xml:space="preserve"> </w:t>
      </w:r>
      <w:r>
        <w:t xml:space="preserve">- TestA WorkflowView safe</w:t>
      </w:r>
      <w:r>
        <w:rPr>
          <w:strike/>
        </w:rPr>
        <w:t xml:space="preserve">read: 20260904103807</w:t>
      </w:r>
      <w:r>
        <w:t xml:space="preserve">46db85e1, total=1, passed=1.</w:t>
      </w:r>
      <w:r>
        <w:t xml:space="preserve"> </w:t>
      </w:r>
      <w:r>
        <w:t xml:space="preserve">- TestA WorkflowView structural: 20260904103822-ba9e3231, total=6, passed=6.</w:t>
      </w:r>
    </w:p>
    <w:bookmarkStart w:id="3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1"/>
    <w:p>
      <w:pPr>
        <w:pStyle w:val="Heading3"/>
      </w:pPr>
      <w:r>
        <w:t xml:space="preserve">1.1. 🔗 blocks: I128-2801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3"/>
    <w:p>
      <w:pPr>
        <w:pStyle w:val="Heading3"/>
      </w:pPr>
      <w:r>
        <w:t xml:space="preserve">1.2. 🔗 blocks: I128-2803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09"/>
    <w:p>
      <w:pPr>
        <w:pStyle w:val="Heading3"/>
      </w:pPr>
      <w:r>
        <w:t xml:space="preserve">1.3. 🔗 blocks: I128-2809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10"/>
    <w:p>
      <w:pPr>
        <w:pStyle w:val="Heading3"/>
      </w:pPr>
      <w:r>
        <w:t xml:space="preserve">1.4. 🔗 blocks: I128-2810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11"/>
    <w:p>
      <w:pPr>
        <w:pStyle w:val="Heading3"/>
      </w:pPr>
      <w:r>
        <w:t xml:space="preserve">1.5. 🔗 blocks: I128-2811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14"/>
    <w:p>
      <w:pPr>
        <w:pStyle w:val="Heading3"/>
      </w:pPr>
      <w:r>
        <w:t xml:space="preserve">1.6. 🔗 blocks: I128-2814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[I128-2814]</w:t>
        </w:r>
      </w:hyperlink>
      <w:r>
        <w:t xml:space="preserve"> </w:t>
      </w:r>
      <w:r>
        <w:t xml:space="preserve">Расширить ProfileManager для пользовательских настроек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16"/>
    <w:p>
      <w:pPr>
        <w:pStyle w:val="Heading3"/>
      </w:pPr>
      <w:r>
        <w:t xml:space="preserve">1.7. 🔗 blocks: I128-2816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[I128-2816]</w:t>
        </w:r>
      </w:hyperlink>
      <w:r>
        <w:t xml:space="preserve"> </w:t>
      </w:r>
      <w:r>
        <w:t xml:space="preserve">Расширить Menu для публикации TaskPortal в навигации и Cabinet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21"/>
    <w:p>
      <w:pPr>
        <w:pStyle w:val="Heading3"/>
      </w:pPr>
      <w:r>
        <w:t xml:space="preserve">1.8. 🔗 blocks: I128-2821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22"/>
    <w:p>
      <w:pPr>
        <w:pStyle w:val="Heading3"/>
      </w:pPr>
      <w:r>
        <w:t xml:space="preserve">1.9. 🔗 blocks: I128-2822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25"/>
    <w:p>
      <w:pPr>
        <w:pStyle w:val="Heading3"/>
      </w:pPr>
      <w:r>
        <w:t xml:space="preserve">1.10. 🔗 blocks: I128-2825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26"/>
    <w:p>
      <w:pPr>
        <w:pStyle w:val="Heading3"/>
      </w:pPr>
      <w:r>
        <w:t xml:space="preserve">1.11. 🔗 blocks: I128-2826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[I128-2826]</w:t>
        </w:r>
      </w:hyperlink>
      <w:r>
        <w:t xml:space="preserve"> </w:t>
      </w:r>
      <w:r>
        <w:t xml:space="preserve">Расширить Help для документации задач, API и эксплуатационных runbook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39"/>
    <w:p>
      <w:pPr>
        <w:pStyle w:val="Heading3"/>
      </w:pPr>
      <w:r>
        <w:t xml:space="preserve">1.12. 🔗 blocks: I128-2839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40"/>
    <w:p>
      <w:pPr>
        <w:pStyle w:val="Heading3"/>
      </w:pPr>
      <w:r>
        <w:t xml:space="preserve">1.13. 🔗 blocks: I128-2840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790"/>
    <w:p>
      <w:pPr>
        <w:pStyle w:val="Heading3"/>
      </w:pPr>
      <w:r>
        <w:t xml:space="preserve">1.14. 🔗 blocks: I128-2790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797"/>
    <w:p>
      <w:pPr>
        <w:pStyle w:val="Heading3"/>
      </w:pPr>
      <w:r>
        <w:t xml:space="preserve">1.15. 🔗 blocks: I128-2797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35" Target="?id=Help/Show&amp;m=Help/GeneralDescription/WhatsNew/I128/TaskInfo/I128-2790/README" TargetMode="External" /><Relationship Type="http://schemas.openxmlformats.org/officeDocument/2006/relationships/hyperlink" Id="rId37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801/README" TargetMode="External" /><Relationship Type="http://schemas.openxmlformats.org/officeDocument/2006/relationships/hyperlink" Id="rId11" Target="?id=Help/Show&amp;m=Help/GeneralDescription/WhatsNew/I128/TaskInfo/I128-2803/README" TargetMode="External" /><Relationship Type="http://schemas.openxmlformats.org/officeDocument/2006/relationships/hyperlink" Id="rId13" Target="?id=Help/Show&amp;m=Help/GeneralDescription/WhatsNew/I128/TaskInfo/I128-2809/README" TargetMode="External" /><Relationship Type="http://schemas.openxmlformats.org/officeDocument/2006/relationships/hyperlink" Id="rId15" Target="?id=Help/Show&amp;m=Help/GeneralDescription/WhatsNew/I128/TaskInfo/I128-2810/README" TargetMode="External" /><Relationship Type="http://schemas.openxmlformats.org/officeDocument/2006/relationships/hyperlink" Id="rId17" Target="?id=Help/Show&amp;m=Help/GeneralDescription/WhatsNew/I128/TaskInfo/I128-2811/README" TargetMode="External" /><Relationship Type="http://schemas.openxmlformats.org/officeDocument/2006/relationships/hyperlink" Id="rId19" Target="?id=Help/Show&amp;m=Help/GeneralDescription/WhatsNew/I128/TaskInfo/I128-2814/README" TargetMode="External" /><Relationship Type="http://schemas.openxmlformats.org/officeDocument/2006/relationships/hyperlink" Id="rId21" Target="?id=Help/Show&amp;m=Help/GeneralDescription/WhatsNew/I128/TaskInfo/I128-2816/README" TargetMode="External" /><Relationship Type="http://schemas.openxmlformats.org/officeDocument/2006/relationships/hyperlink" Id="rId23" Target="?id=Help/Show&amp;m=Help/GeneralDescription/WhatsNew/I128/TaskInfo/I128-2821/README" TargetMode="External" /><Relationship Type="http://schemas.openxmlformats.org/officeDocument/2006/relationships/hyperlink" Id="rId25" Target="?id=Help/Show&amp;m=Help/GeneralDescription/WhatsNew/I128/TaskInfo/I128-2822/README" TargetMode="External" /><Relationship Type="http://schemas.openxmlformats.org/officeDocument/2006/relationships/hyperlink" Id="rId27" Target="?id=Help/Show&amp;m=Help/GeneralDescription/WhatsNew/I128/TaskInfo/I128-2825/README" TargetMode="External" /><Relationship Type="http://schemas.openxmlformats.org/officeDocument/2006/relationships/hyperlink" Id="rId29" Target="?id=Help/Show&amp;m=Help/GeneralDescription/WhatsNew/I128/TaskInfo/I128-2826/README" TargetMode="External" /><Relationship Type="http://schemas.openxmlformats.org/officeDocument/2006/relationships/hyperlink" Id="rId31" Target="?id=Help/Show&amp;m=Help/GeneralDescription/WhatsNew/I128/TaskInfo/I128-2839/README" TargetMode="External" /><Relationship Type="http://schemas.openxmlformats.org/officeDocument/2006/relationships/hyperlink" Id="rId33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5" Target="?id=Help/Show&amp;m=Help/GeneralDescription/WhatsNew/I128/TaskInfo/I128-2790/README" TargetMode="External" /><Relationship Type="http://schemas.openxmlformats.org/officeDocument/2006/relationships/hyperlink" Id="rId37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801/README" TargetMode="External" /><Relationship Type="http://schemas.openxmlformats.org/officeDocument/2006/relationships/hyperlink" Id="rId11" Target="?id=Help/Show&amp;m=Help/GeneralDescription/WhatsNew/I128/TaskInfo/I128-2803/README" TargetMode="External" /><Relationship Type="http://schemas.openxmlformats.org/officeDocument/2006/relationships/hyperlink" Id="rId13" Target="?id=Help/Show&amp;m=Help/GeneralDescription/WhatsNew/I128/TaskInfo/I128-2809/README" TargetMode="External" /><Relationship Type="http://schemas.openxmlformats.org/officeDocument/2006/relationships/hyperlink" Id="rId15" Target="?id=Help/Show&amp;m=Help/GeneralDescription/WhatsNew/I128/TaskInfo/I128-2810/README" TargetMode="External" /><Relationship Type="http://schemas.openxmlformats.org/officeDocument/2006/relationships/hyperlink" Id="rId17" Target="?id=Help/Show&amp;m=Help/GeneralDescription/WhatsNew/I128/TaskInfo/I128-2811/README" TargetMode="External" /><Relationship Type="http://schemas.openxmlformats.org/officeDocument/2006/relationships/hyperlink" Id="rId19" Target="?id=Help/Show&amp;m=Help/GeneralDescription/WhatsNew/I128/TaskInfo/I128-2814/README" TargetMode="External" /><Relationship Type="http://schemas.openxmlformats.org/officeDocument/2006/relationships/hyperlink" Id="rId21" Target="?id=Help/Show&amp;m=Help/GeneralDescription/WhatsNew/I128/TaskInfo/I128-2816/README" TargetMode="External" /><Relationship Type="http://schemas.openxmlformats.org/officeDocument/2006/relationships/hyperlink" Id="rId23" Target="?id=Help/Show&amp;m=Help/GeneralDescription/WhatsNew/I128/TaskInfo/I128-2821/README" TargetMode="External" /><Relationship Type="http://schemas.openxmlformats.org/officeDocument/2006/relationships/hyperlink" Id="rId25" Target="?id=Help/Show&amp;m=Help/GeneralDescription/WhatsNew/I128/TaskInfo/I128-2822/README" TargetMode="External" /><Relationship Type="http://schemas.openxmlformats.org/officeDocument/2006/relationships/hyperlink" Id="rId27" Target="?id=Help/Show&amp;m=Help/GeneralDescription/WhatsNew/I128/TaskInfo/I128-2825/README" TargetMode="External" /><Relationship Type="http://schemas.openxmlformats.org/officeDocument/2006/relationships/hyperlink" Id="rId29" Target="?id=Help/Show&amp;m=Help/GeneralDescription/WhatsNew/I128/TaskInfo/I128-2826/README" TargetMode="External" /><Relationship Type="http://schemas.openxmlformats.org/officeDocument/2006/relationships/hyperlink" Id="rId31" Target="?id=Help/Show&amp;m=Help/GeneralDescription/WhatsNew/I128/TaskInfo/I128-2839/README" TargetMode="External" /><Relationship Type="http://schemas.openxmlformats.org/officeDocument/2006/relationships/hyperlink" Id="rId33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[I128-2791] Расширить WorkflowScreen/WorkflowView для публичных ws-форм и представлений</dc:title>
  <dc:creator/>
  <cp:keywords/>
  <dcterms:created xsi:type="dcterms:W3CDTF">2026-10-05T16:40:40Z</dcterms:created>
  <dcterms:modified xsi:type="dcterms:W3CDTF">2026-10-05T16:40:40Z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