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[I128-1683] datai d2 2025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83-datai-d2-2025"/>
    <w:p>
      <w:pPr>
        <w:pStyle w:val="Heading1"/>
      </w:pPr>
      <w:r>
        <w:t xml:space="preserve">[I128-1683] datai d2 2025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44"/>
    <w:p>
      <w:pPr>
        <w:pStyle w:val="Heading3"/>
      </w:pPr>
      <w:r>
        <w:t xml:space="preserve">1.1. 🔗 Соответствует задача: I128-1644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[I128-1644]</w:t>
        </w:r>
      </w:hyperlink>
      <w:r>
        <w:t xml:space="preserve"> </w:t>
      </w:r>
      <w:r>
        <w:t xml:space="preserve">Применено исправление 2025 D2 технологического обеспечения системы ИРБИС 64/128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[I128-1683] datai d2 2025</dc:title>
  <dc:creator/>
  <cp:keywords/>
  <dcterms:created xsi:type="dcterms:W3CDTF">2026-10-05T16:40:39Z</dcterms:created>
  <dcterms:modified xsi:type="dcterms:W3CDTF">2026-10-05T16:40:39Z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