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750245389e1e51862e0f34fa8edf283fb9958e"/>
    <w:p>
      <w:pPr>
        <w:pStyle w:val="Heading1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уточнено, что команды просмотра сведений появляются после выбора записи; для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 </w:t>
      </w:r>
      <w:r>
        <w:t xml:space="preserve">кнопка скрыта, пока запись не выбрана, и может отсутствовать для записей без систематических индексов.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просмотра сведений о найденных записях в АРМ Каталогизатор дополнен описанием поведения кнопки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: пользователь сначала выбирает запись в результатах поиска, после чего открывает команду просмотра индексов. Если запись не выбрана,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5"/>
    <w:p>
      <w:pPr>
        <w:pStyle w:val="Heading3"/>
      </w:pPr>
      <w:r>
        <w:t xml:space="preserve">1.1. 🔗 Соответствует задача: I128-895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[I128-895]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[I128-1173] Пока не выделена запись, кнопка “Систематические шифры” скрыта</dc:title>
  <dc:creator/>
  <cp:keywords/>
  <dcterms:created xsi:type="dcterms:W3CDTF">2026-10-05T16:40:40Z</dcterms:created>
  <dcterms:modified xsi:type="dcterms:W3CDTF">2026-10-05T16:40:40Z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