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обращения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жизненный-цикл-обращения"/>
    <w:p>
      <w:pPr>
        <w:pStyle w:val="Heading1"/>
      </w:pPr>
      <w:r>
        <w:t xml:space="preserve">Жизненный цикл обращения</w:t>
      </w:r>
    </w:p>
    <w:bookmarkStart w:id="9" w:name="создание"/>
    <w:p>
      <w:pPr>
        <w:pStyle w:val="Heading2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9"/>
    <w:bookmarkStart w:id="10" w:name="обработка"/>
    <w:p>
      <w:pPr>
        <w:pStyle w:val="Heading2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0"/>
    <w:bookmarkStart w:id="11" w:name="переписка"/>
    <w:p>
      <w:pPr>
        <w:pStyle w:val="Heading2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1"/>
    <w:bookmarkStart w:id="12" w:name="завершение-и-оценка"/>
    <w:p>
      <w:pPr>
        <w:pStyle w:val="Heading2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обращения</dc:title>
  <dc:creator/>
  <cp:keywords/>
  <dcterms:created xsi:type="dcterms:W3CDTF">2026-10-09T12:19:02Z</dcterms:created>
  <dcterms:modified xsi:type="dcterms:W3CDTF">2026-10-09T12:19:02Z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