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32.png" ContentType="image/png"/>
  <Override PartName="/word/media/rId39.png" ContentType="image/png"/>
  <Override PartName="/word/media/rId42.png" ContentType="image/png"/>
  <Override PartName="/word/media/rId24.png" ContentType="image/png"/>
  <Override PartName="/word/media/rId27.png" ContentType="image/png"/>
  <Override PartName="/word/media/rId20.png" ContentType="image/png"/>
  <Override PartName="/word/media/rId16.png" ContentType="image/png"/>
  <Override PartName="/word/media/rId47.png" ContentType="image/png"/>
  <Override PartName="/word/media/rId57.png" ContentType="image/png"/>
  <Override PartName="/word/media/rId5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Интерфейс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1" w:name="интерфейс-арм-каталогизатор"/>
    <w:p>
      <w:pPr>
        <w:pStyle w:val="Heading1"/>
      </w:pPr>
      <w:r>
        <w:t xml:space="preserve">Интерфейс АРМ Каталогизатор</w:t>
      </w:r>
    </w:p>
    <w:p>
      <w:pPr>
        <w:pStyle w:val="FirstParagraph"/>
      </w:pPr>
      <w:r>
        <w:t xml:space="preserve">Раздел расширен по материалам старого документа «АРМ Каталогизатор 128».</w:t>
      </w:r>
    </w:p>
    <w:p>
      <w:pPr>
        <w:pStyle w:val="BodyText"/>
      </w:pPr>
      <w:r>
        <w:t xml:space="preserve">АРМ Каталогизатор работает как многооконный тонкий клиент. После запуска пользователь выбирает базу данных, выполняет поиск, открывает найденные записи и вызывает действия через панель инструментов.</w:t>
      </w:r>
    </w:p>
    <w:p>
      <w:pPr>
        <w:pStyle w:val="CaptionedFigure"/>
      </w:pPr>
      <w:r>
        <w:drawing>
          <wp:inline>
            <wp:extent cx="5334000" cy="3494120"/>
            <wp:effectExtent b="0" l="0" r="0" t="0"/>
            <wp:docPr descr="Интерфейс главной страницы АРМ Каталогизатор" title="" id="10" name="Picture"/>
            <a:graphic>
              <a:graphicData uri="http://schemas.openxmlformats.org/drawingml/2006/picture">
                <pic:pic>
                  <pic:nvPicPr>
                    <pic:cNvPr descr="modules/Cataloguer/Help/Interface/MainWindo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41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Интерфейс главной страницы АРМ Каталогизатор</w:t>
      </w:r>
    </w:p>
    <w:p>
      <w:pPr>
        <w:pStyle w:val="BodyText"/>
      </w:pPr>
      <w:r>
        <w:t xml:space="preserve">В интерфейсе можно выделить: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область управления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область словаря и поиска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область списка записей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область состояний</w:t>
        </w:r>
      </w:hyperlink>
      <w:r>
        <w:t xml:space="preserve">.</w:t>
      </w:r>
    </w:p>
    <w:p>
      <w:pPr>
        <w:pStyle w:val="FirstParagraph"/>
      </w:pPr>
      <w:r>
        <w:t xml:space="preserve">Стартовое окно содержит раскрывающийся список выбора базы данных, фрейм поиска с выбором вида поиска и полем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, фрейм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 фрейм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.</w:t>
      </w:r>
    </w:p>
    <w:p>
      <w:pPr>
        <w:pStyle w:val="BodyText"/>
      </w:pPr>
      <w:r>
        <w:t xml:space="preserve">В нижней части окна расположена панель навигации с вкладками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. Для перехода между вкладками выберите нужное название вкладки.</w:t>
      </w:r>
    </w:p>
    <w:bookmarkStart w:id="19" w:name="область-управления"/>
    <w:p>
      <w:pPr>
        <w:pStyle w:val="Heading2"/>
      </w:pPr>
      <w:r>
        <w:t xml:space="preserve">Область управления</w:t>
      </w:r>
    </w:p>
    <w:p>
      <w:pPr>
        <w:pStyle w:val="FirstParagraph"/>
      </w:pPr>
      <w:r>
        <w:t xml:space="preserve">Область управления располагается в верхней части окна АРМ Каталогизатор и содержит панель инструментов для быстрого вызова основных действий.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Панель инструментов АРМ Каталогизатор" title="" id="17" name="Picture"/>
            <a:graphic>
              <a:graphicData uri="http://schemas.openxmlformats.org/drawingml/2006/picture">
                <pic:pic>
                  <pic:nvPicPr>
                    <pic:cNvPr descr="modules/Cataloguer/Help/Interface/Toolba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Панель инструментов АРМ Каталогизатор</w:t>
      </w:r>
    </w:p>
    <w:p>
      <w:pPr>
        <w:pStyle w:val="BodyText"/>
      </w:pPr>
      <w:r>
        <w:t xml:space="preserve">Панель инструментов позволяет:</w:t>
      </w:r>
    </w:p>
    <w:p>
      <w:pPr>
        <w:pStyle w:val="Compact"/>
        <w:numPr>
          <w:ilvl w:val="0"/>
          <w:numId w:val="1002"/>
        </w:numPr>
      </w:pPr>
      <w:r>
        <w:t xml:space="preserve">сменить текущую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выбрать формат отображения записи;</w:t>
      </w:r>
    </w:p>
    <w:p>
      <w:pPr>
        <w:pStyle w:val="Compact"/>
        <w:numPr>
          <w:ilvl w:val="0"/>
          <w:numId w:val="1002"/>
        </w:numPr>
      </w:pPr>
      <w:r>
        <w:t xml:space="preserve">отредактировать текущую запись;</w:t>
      </w:r>
    </w:p>
    <w:p>
      <w:pPr>
        <w:pStyle w:val="Compact"/>
        <w:numPr>
          <w:ilvl w:val="0"/>
          <w:numId w:val="1002"/>
        </w:numPr>
      </w:pPr>
      <w:r>
        <w:t xml:space="preserve">создать новую запись или новую запись на основе текущей;</w:t>
      </w:r>
    </w:p>
    <w:p>
      <w:pPr>
        <w:pStyle w:val="Compact"/>
        <w:numPr>
          <w:ilvl w:val="0"/>
          <w:numId w:val="1002"/>
        </w:numPr>
      </w:pPr>
      <w:r>
        <w:t xml:space="preserve">удалить запись;</w:t>
      </w:r>
    </w:p>
    <w:p>
      <w:pPr>
        <w:pStyle w:val="Compact"/>
        <w:numPr>
          <w:ilvl w:val="0"/>
          <w:numId w:val="1002"/>
        </w:numPr>
      </w:pPr>
      <w:r>
        <w:t xml:space="preserve">выполнить глобальную корректировку;</w:t>
      </w:r>
    </w:p>
    <w:p>
      <w:pPr>
        <w:pStyle w:val="Compact"/>
        <w:numPr>
          <w:ilvl w:val="0"/>
          <w:numId w:val="1002"/>
        </w:numPr>
      </w:pPr>
      <w:r>
        <w:t xml:space="preserve">напечатать, экспортировать, скопировать или импортировать записи;</w:t>
      </w:r>
    </w:p>
    <w:p>
      <w:pPr>
        <w:pStyle w:val="Compact"/>
        <w:numPr>
          <w:ilvl w:val="0"/>
          <w:numId w:val="1002"/>
        </w:numPr>
      </w:pPr>
      <w:r>
        <w:t xml:space="preserve">открыть статистические и выходные формы;</w:t>
      </w:r>
    </w:p>
    <w:p>
      <w:pPr>
        <w:pStyle w:val="Compact"/>
        <w:numPr>
          <w:ilvl w:val="0"/>
          <w:numId w:val="1002"/>
        </w:numPr>
      </w:pPr>
      <w:r>
        <w:t xml:space="preserve">выполнить последовательный поиск;</w:t>
      </w:r>
    </w:p>
    <w:p>
      <w:pPr>
        <w:pStyle w:val="Compact"/>
        <w:numPr>
          <w:ilvl w:val="0"/>
          <w:numId w:val="1002"/>
        </w:numPr>
      </w:pPr>
      <w:r>
        <w:t xml:space="preserve">открыть полный текст;</w:t>
      </w:r>
    </w:p>
    <w:p>
      <w:pPr>
        <w:pStyle w:val="Compact"/>
        <w:numPr>
          <w:ilvl w:val="0"/>
          <w:numId w:val="1002"/>
        </w:numPr>
      </w:pPr>
      <w:r>
        <w:t xml:space="preserve">добавить выбранные записи в корзину;</w:t>
      </w:r>
    </w:p>
    <w:p>
      <w:pPr>
        <w:pStyle w:val="Compact"/>
        <w:numPr>
          <w:ilvl w:val="0"/>
          <w:numId w:val="1002"/>
        </w:numPr>
      </w:pPr>
      <w:r>
        <w:t xml:space="preserve">выйти из АРМ и завершить текущую сессию отдельной кнопкой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правой части верхней панели.</w:t>
      </w:r>
    </w:p>
    <w:p>
      <w:pPr>
        <w:pStyle w:val="FirstParagraph"/>
      </w:pPr>
      <w:r>
        <w:t xml:space="preserve">Команда вызывается щелчком по кнопке панели инструментов. Для большинства действий предварительно нужно выбрать одну или несколько записей в области результатов поиска или в корзине.</w:t>
      </w:r>
    </w:p>
    <w:p>
      <w:pPr>
        <w:pStyle w:val="BodyText"/>
      </w:pPr>
      <w:r>
        <w:t xml:space="preserve">Текущий профиль пользователя не занимает место в верхней панели. Название профиля и команда его смены отображаются в</w:t>
      </w:r>
      <w:r>
        <w:t xml:space="preserve"> </w:t>
      </w:r>
      <w:hyperlink r:id="rId15">
        <w:r>
          <w:rPr>
            <w:rStyle w:val="Hyperlink"/>
          </w:rPr>
          <w:t xml:space="preserve">области состояний</w:t>
        </w:r>
      </w:hyperlink>
      <w:r>
        <w:t xml:space="preserve">, поэтому 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остается доступной даже при длинном названии профиля или увеличенном масштабе текста в браузере.</w:t>
      </w:r>
    </w:p>
    <w:bookmarkEnd w:id="19"/>
    <w:bookmarkStart w:id="23" w:name="область-словаря"/>
    <w:p>
      <w:pPr>
        <w:pStyle w:val="Heading2"/>
      </w:pPr>
      <w:r>
        <w:t xml:space="preserve">Область словаря</w:t>
      </w:r>
    </w:p>
    <w:p>
      <w:pPr>
        <w:pStyle w:val="FirstParagraph"/>
      </w:pPr>
      <w:r>
        <w:t xml:space="preserve">Область словаря используется для поиска объектов в выбранной базе данных.</w:t>
      </w:r>
    </w:p>
    <w:p>
      <w:pPr>
        <w:pStyle w:val="BodyText"/>
      </w:pPr>
      <w:r>
        <w:t xml:space="preserve">Чтобы выполнить поиск:</w:t>
      </w:r>
    </w:p>
    <w:p>
      <w:pPr>
        <w:pStyle w:val="Compact"/>
        <w:numPr>
          <w:ilvl w:val="0"/>
          <w:numId w:val="1003"/>
        </w:numPr>
      </w:pPr>
      <w:r>
        <w:t xml:space="preserve">Выберите подходящий вид поиска.</w:t>
      </w:r>
    </w:p>
    <w:p>
      <w:pPr>
        <w:pStyle w:val="Compact"/>
        <w:numPr>
          <w:ilvl w:val="0"/>
          <w:numId w:val="1003"/>
        </w:numPr>
      </w:pPr>
      <w:r>
        <w:t xml:space="preserve">Введите поисковый запрос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Выберите подходящий вариант в левой части окна двойным щелчком.</w:t>
      </w:r>
    </w:p>
    <w:p>
      <w:pPr>
        <w:pStyle w:val="FirstParagraph"/>
      </w:pPr>
      <w:r>
        <w:t xml:space="preserve">Если поисковый ключ набран в неправильной русской или английской раскладке, установите курсор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. Система заменит символы всей строки на соответствующие символы другой раскладки. Например, строка</w:t>
      </w:r>
      <w:r>
        <w:t xml:space="preserve"> </w:t>
      </w:r>
      <w:r>
        <w:rPr>
          <w:rStyle w:val="VerbatimChar"/>
        </w:rPr>
        <w:t xml:space="preserve">ghbdtn</w:t>
      </w:r>
      <w:r>
        <w:t xml:space="preserve"> </w:t>
      </w:r>
      <w:r>
        <w:t xml:space="preserve">будет преобразована в</w:t>
      </w:r>
      <w:r>
        <w:t xml:space="preserve"> </w:t>
      </w:r>
      <w:r>
        <w:rPr>
          <w:rStyle w:val="VerbatimChar"/>
        </w:rPr>
        <w:t xml:space="preserve">привет</w:t>
      </w:r>
      <w:r>
        <w:t xml:space="preserve">, а повторное нажатие вернет ее обратно.</w:t>
      </w:r>
    </w:p>
    <w:p>
      <w:pPr>
        <w:pStyle w:val="BodyText"/>
      </w:pPr>
      <w:r>
        <w:t xml:space="preserve">После выбора поискового ключа найденные записи отображаются в области результатов поиска.</w:t>
      </w:r>
    </w:p>
    <w:p>
      <w:pPr>
        <w:pStyle w:val="CaptionedFigure"/>
      </w:pPr>
      <w:r>
        <w:drawing>
          <wp:inline>
            <wp:extent cx="5334000" cy="2429260"/>
            <wp:effectExtent b="0" l="0" r="0" t="0"/>
            <wp:docPr descr="Список найденных объектов" title="" id="21" name="Picture"/>
            <a:graphic>
              <a:graphicData uri="http://schemas.openxmlformats.org/drawingml/2006/picture">
                <pic:pic>
                  <pic:nvPicPr>
                    <pic:cNvPr descr="modules/Cataloguer/Help/Interface/SearchResul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9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найденных объектов</w:t>
      </w:r>
    </w:p>
    <w:bookmarkEnd w:id="23"/>
    <w:bookmarkStart w:id="53" w:name="область-списка-записей"/>
    <w:p>
      <w:pPr>
        <w:pStyle w:val="Heading2"/>
      </w:pPr>
      <w:r>
        <w:t xml:space="preserve">Область списка записей</w:t>
      </w:r>
    </w:p>
    <w:p>
      <w:pPr>
        <w:pStyle w:val="FirstParagraph"/>
      </w:pPr>
      <w:r>
        <w:t xml:space="preserve">Область списка записей состоит из следующих областей:</w:t>
      </w:r>
      <w:r>
        <w:t xml:space="preserve"> </w:t>
      </w:r>
      <w:r>
        <w:t xml:space="preserve">* область управления списком записей,</w:t>
      </w:r>
      <w:r>
        <w:t xml:space="preserve"> </w:t>
      </w:r>
      <w:r>
        <w:t xml:space="preserve">* список записей,</w:t>
      </w:r>
      <w:r>
        <w:t xml:space="preserve"> </w:t>
      </w:r>
      <w:r>
        <w:t xml:space="preserve">* область навигации по списку записей.</w:t>
      </w:r>
    </w:p>
    <w:bookmarkStart w:id="46" w:name="область-управления-списком-записей"/>
    <w:p>
      <w:pPr>
        <w:pStyle w:val="Heading3"/>
      </w:pPr>
      <w:r>
        <w:t xml:space="preserve">Область управления списком записей</w:t>
      </w:r>
    </w:p>
    <w:p>
      <w:pPr>
        <w:pStyle w:val="FirstParagraph"/>
      </w:pPr>
      <w:r>
        <w:t xml:space="preserve">Область управления списком записей содержит кнопки действий над результатами поиска или содержимым корзины. Набор кнопок зависит от настроек рабочего места, выбранной базы данных и прав пользователя. Часть действий работает только с текущей записью, поэтому появляется на панели после выбора строки списка.</w:t>
      </w:r>
    </w:p>
    <w:bookmarkStart w:id="30" w:name="права-на-объект"/>
    <w:p>
      <w:pPr>
        <w:pStyle w:val="Heading4"/>
      </w:pPr>
      <w:r>
        <w:t xml:space="preserve">1. Права на объект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открывает окно настройки прав доступа к выбранной записи. Пока в списке записей нет текущей строки, кнопка скрыта: действие требует конкретного объекта и не запускается без предварительного выбора записи.</w:t>
      </w:r>
    </w:p>
    <w:p>
      <w:pPr>
        <w:pStyle w:val="CaptionedFigure"/>
      </w:pPr>
      <w:r>
        <w:drawing>
          <wp:inline>
            <wp:extent cx="5334000" cy="1052763"/>
            <wp:effectExtent b="0" l="0" r="0" t="0"/>
            <wp:docPr descr="Рисунок 1 - Панель списка без выделенной записи" title="Панель списка без выделенной записи" id="25" name="Picture"/>
            <a:graphic>
              <a:graphicData uri="http://schemas.openxmlformats.org/drawingml/2006/picture">
                <pic:pic>
                  <pic:nvPicPr>
                    <pic:cNvPr descr="modules/Cataloguer/Help/Interface/RecList/img/object-rights-no-selection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2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списка без выделенной записи</w:t>
      </w:r>
    </w:p>
    <w:p>
      <w:pPr>
        <w:pStyle w:val="BodyText"/>
      </w:pPr>
      <w:r>
        <w:t xml:space="preserve">Чтобы открыть права доступа к записи:</w:t>
      </w:r>
    </w:p>
    <w:p>
      <w:pPr>
        <w:pStyle w:val="Compact"/>
        <w:numPr>
          <w:ilvl w:val="0"/>
          <w:numId w:val="1004"/>
        </w:numPr>
      </w:pPr>
      <w:r>
        <w:t xml:space="preserve">Найдите запись в области результатов поиска или откройте содержимое корзины.</w:t>
      </w:r>
    </w:p>
    <w:p>
      <w:pPr>
        <w:pStyle w:val="Compact"/>
        <w:numPr>
          <w:ilvl w:val="0"/>
          <w:numId w:val="1004"/>
        </w:numPr>
      </w:pPr>
      <w:r>
        <w:t xml:space="preserve">Выберите одну строку списка.</w:t>
      </w:r>
    </w:p>
    <w:p>
      <w:pPr>
        <w:pStyle w:val="Compact"/>
        <w:numPr>
          <w:ilvl w:val="0"/>
          <w:numId w:val="1004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 и открывает окно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для выбранного объекта.</w:t>
      </w:r>
    </w:p>
    <w:p>
      <w:pPr>
        <w:pStyle w:val="CaptionedFigure"/>
      </w:pPr>
      <w:r>
        <w:drawing>
          <wp:inline>
            <wp:extent cx="5334000" cy="1052763"/>
            <wp:effectExtent b="0" l="0" r="0" t="0"/>
            <wp:docPr descr="Рисунок 2 - Панель списка после выбора записи" title="Панель списка после выбора записи" id="28" name="Picture"/>
            <a:graphic>
              <a:graphicData uri="http://schemas.openxmlformats.org/drawingml/2006/picture">
                <pic:pic>
                  <pic:nvPicPr>
                    <pic:cNvPr descr="modules/Cataloguer/Help/Interface/RecList/img/object-rights-with-selection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2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списка после выбора записи</w:t>
      </w:r>
    </w:p>
    <w:p>
      <w:pPr>
        <w:pStyle w:val="BodyText"/>
      </w:pPr>
      <w:r>
        <w:t xml:space="preserve">Если кнопка не появляется после выбора строки, значит действие не включено для текущего рабочего места или у пользователя нет доступа к управлению правами объекта.</w:t>
      </w:r>
    </w:p>
    <w:bookmarkEnd w:id="30"/>
    <w:bookmarkStart w:id="31" w:name="просмотр-документа"/>
    <w:p>
      <w:pPr>
        <w:pStyle w:val="Heading4"/>
      </w:pPr>
      <w:r>
        <w:t xml:space="preserve">2. Просмотр документа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открывает переход к электронному документу, связанному с выбранной библиографической записью.</w:t>
      </w:r>
    </w:p>
    <w:p>
      <w:pPr>
        <w:pStyle w:val="BodyText"/>
      </w:pPr>
      <w:r>
        <w:t xml:space="preserve">Пока в списке результатов поиска не выделена запись,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скрыта. После выбора библиографической записи кнопка появляется на панели. Если к записи привязана одна доступная ссылка на полный текст, она открывается сразу; если ссылок несколько, открывается окно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, где можно выбрать нужный документ.</w:t>
      </w:r>
    </w:p>
    <w:bookmarkEnd w:id="31"/>
    <w:bookmarkStart w:id="38" w:name="поиск-по-связи"/>
    <w:p>
      <w:pPr>
        <w:pStyle w:val="Heading4"/>
      </w:pPr>
      <w:r>
        <w:t xml:space="preserve">Поиск по связи</w:t>
      </w:r>
    </w:p>
    <w:p>
      <w:pPr>
        <w:pStyle w:val="FirstParagraph"/>
      </w:pPr>
      <w:r>
        <w:t xml:space="preserve">Режим предназначен для поиска документов, связанных с текущей записью области</w:t>
      </w:r>
      <w:r>
        <w:t xml:space="preserve"> </w:t>
      </w:r>
      <w:hyperlink r:id="rId14">
        <w:r>
          <w:rPr>
            <w:rStyle w:val="Hyperlink"/>
          </w:rPr>
          <w:t xml:space="preserve">списка записей</w:t>
        </w:r>
      </w:hyperlink>
      <w:r>
        <w:t xml:space="preserve">. Связь определяется совпадением выбранных элементов описания: автора, заглавия, коллективного автора, рубрики, классификационного индекса или специальной связи между записями.</w:t>
      </w:r>
    </w:p>
    <w:p>
      <w:pPr>
        <w:pStyle w:val="BodyText"/>
      </w:pPr>
      <w:r>
        <w:t xml:space="preserve">Кнопка доступна только после выбора записи. При запуске открывается окно со списком сценариев и запросов, которые можно выполнить для текущей записи.</w:t>
      </w:r>
    </w:p>
    <w:p>
      <w:pPr>
        <w:pStyle w:val="CaptionedFigure"/>
      </w:pPr>
      <w:r>
        <w:drawing>
          <wp:inline>
            <wp:extent cx="5334000" cy="3936594"/>
            <wp:effectExtent b="0" l="0" r="0" t="0"/>
            <wp:docPr descr="Рисунок 1 - Окно поиска по связи" title="Окно поиска по связи" id="33" name="Picture"/>
            <a:graphic>
              <a:graphicData uri="http://schemas.openxmlformats.org/drawingml/2006/picture">
                <pic:pic>
                  <pic:nvPicPr>
                    <pic:cNvPr descr="modules/Cataloguer/Help/Interface/RecList/TBar/LinkSearch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365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поиска по связи</w:t>
      </w:r>
    </w:p>
    <w:p>
      <w:pPr>
        <w:pStyle w:val="BodyText"/>
      </w:pPr>
      <w:r>
        <w:t xml:space="preserve">Выберите строку сценария и нажмите кнопку поиска в этой строке. АРМ выполнит сформированный запрос и покажет найденные документы в рабочей области списка записей.</w:t>
      </w:r>
    </w:p>
    <w:bookmarkStart w:id="35" w:name="настройка-сценариев"/>
    <w:p>
      <w:pPr>
        <w:pStyle w:val="Heading5"/>
      </w:pPr>
      <w:r>
        <w:t xml:space="preserve">1. Настройка сценариев</w:t>
      </w:r>
    </w:p>
    <w:p>
      <w:pPr>
        <w:pStyle w:val="FirstParagraph"/>
      </w:pPr>
      <w:r>
        <w:t xml:space="preserve">Состав сценариев задается в профиле АРМ «Каталогизатор» в блоке «Поиск по связи», поле «Сценарии поиска по связи». Каждая строка содержит:</w:t>
      </w:r>
    </w:p>
    <w:p>
      <w:pPr>
        <w:pStyle w:val="Compact"/>
        <w:numPr>
          <w:ilvl w:val="0"/>
          <w:numId w:val="1005"/>
        </w:numPr>
      </w:pPr>
      <w:r>
        <w:t xml:space="preserve">название сценария;</w:t>
      </w:r>
    </w:p>
    <w:p>
      <w:pPr>
        <w:pStyle w:val="Compact"/>
        <w:numPr>
          <w:ilvl w:val="0"/>
          <w:numId w:val="1005"/>
        </w:numPr>
      </w:pPr>
      <w:r>
        <w:t xml:space="preserve">формат терминов, который выполняется для текущей записи;</w:t>
      </w:r>
    </w:p>
    <w:p>
      <w:pPr>
        <w:pStyle w:val="Compact"/>
        <w:numPr>
          <w:ilvl w:val="0"/>
          <w:numId w:val="1005"/>
        </w:numPr>
      </w:pPr>
      <w:r>
        <w:t xml:space="preserve">префикс терминов;</w:t>
      </w:r>
    </w:p>
    <w:p>
      <w:pPr>
        <w:pStyle w:val="Compact"/>
        <w:numPr>
          <w:ilvl w:val="0"/>
          <w:numId w:val="1005"/>
        </w:numPr>
      </w:pPr>
      <w:r>
        <w:t xml:space="preserve">суффикс терминов;</w:t>
      </w:r>
    </w:p>
    <w:p>
      <w:pPr>
        <w:pStyle w:val="Compact"/>
        <w:numPr>
          <w:ilvl w:val="0"/>
          <w:numId w:val="1005"/>
        </w:numPr>
      </w:pPr>
      <w:r>
        <w:t xml:space="preserve">логику объединения нескольких терминов.</w:t>
      </w:r>
    </w:p>
    <w:p>
      <w:pPr>
        <w:pStyle w:val="FirstParagraph"/>
      </w:pPr>
      <w:r>
        <w:t xml:space="preserve">Если профиль не содержит собственных сценариев, используется совместимый источник ИРБИС 64: секция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БД, затем INI АРМ, затем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 Параметры INI имеют вид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NN</w:t>
      </w:r>
      <w:r>
        <w:t xml:space="preserve"> </w:t>
      </w:r>
      <w:r>
        <w:t xml:space="preserve">- номер сценария 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t xml:space="preserve">Для каждого сценария система форматирует текущую запись, разбивает результат на строки, добавляет к каждой строке префикс и суффикс и объединяет полученные термины выбранной логикой. Пустые результаты форматирования не попадают в итоговый запрос.</w:t>
      </w:r>
    </w:p>
    <w:bookmarkEnd w:id="35"/>
    <w:bookmarkStart w:id="37" w:name="логика-объединения-терминов"/>
    <w:p>
      <w:pPr>
        <w:pStyle w:val="Heading5"/>
      </w:pPr>
      <w:r>
        <w:t xml:space="preserve">2. Логика объединения терминов</w:t>
      </w:r>
    </w:p>
    <w:p>
      <w:pPr>
        <w:pStyle w:val="FirstParagraph"/>
      </w:pPr>
      <w:r>
        <w:t xml:space="preserve">В ini-файле БД параметр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задает, как объединяются термины, полученные из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формирует поисковый оператор</w:t>
      </w:r>
      <w:r>
        <w:t xml:space="preserve"> </w:t>
      </w:r>
      <w:r>
        <w:rPr>
          <w:rStyle w:val="VerbatimChar"/>
        </w:rPr>
        <w:t xml:space="preserve">(G)</w:t>
      </w:r>
      <w:r>
        <w:t xml:space="preserve">: найденные термины должны находиться в одном поле записи. Это удобно для поисков по связи, где совпадение в отдельном важном поле должно учитываться отдельно от совпадений в других полях.</w:t>
      </w:r>
    </w:p>
    <w:p>
      <w:pPr>
        <w:pStyle w:val="BodyText"/>
      </w:pPr>
      <w:r>
        <w:rPr>
          <w:rStyle w:val="VerbatimChar"/>
        </w:rPr>
        <w:t xml:space="preserve">ScntLogic=5</w:t>
      </w:r>
      <w:r>
        <w:t xml:space="preserve"> </w:t>
      </w:r>
      <w:r>
        <w:t xml:space="preserve">опирается на метки полей, сохраненные в ссылках словаря. Эти метки берутся из FST-правил, по которым были построены термины. Если несколько разных полей индексируются одним общим правилом FST, поиск увидит только общую метку этого правила и не сможет отличить исходные поля. Для надежной настройки поиска по важным полям задавайте отдельные FST-строки с соответствующими метками полей.</w:t>
      </w:r>
    </w:p>
    <w:p>
      <w:pPr>
        <w:pStyle w:val="BodyText"/>
      </w:pPr>
      <w:hyperlink r:id="rId36">
        <w:r>
          <w:rPr>
            <w:rStyle w:val="Hyperlink"/>
          </w:rPr>
          <w:t xml:space="preserve">Техническая информация о вызываемом действии</w:t>
        </w:r>
      </w:hyperlink>
    </w:p>
    <w:bookmarkEnd w:id="37"/>
    <w:bookmarkEnd w:id="38"/>
    <w:bookmarkStart w:id="45" w:name="редактирование-текущей-записи"/>
    <w:p>
      <w:pPr>
        <w:pStyle w:val="Heading4"/>
      </w:pPr>
      <w:r>
        <w:t xml:space="preserve">Редактирование текущей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открывает редактор для записи, выбранной в списке. Пока строка списка не выделена, кнопка скрыта: действие требует конкретной записи и не запускается без текущего выбора.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1 - Панель действий без выделенной записи" title="Панель действий без выделенной записи" id="40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no-selection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действий без выделенной записи</w:t>
      </w:r>
    </w:p>
    <w:p>
      <w:pPr>
        <w:pStyle w:val="BodyText"/>
      </w:pPr>
      <w:r>
        <w:t xml:space="preserve">Чтобы открыть запись на редактирование:</w:t>
      </w:r>
    </w:p>
    <w:p>
      <w:pPr>
        <w:pStyle w:val="Compact"/>
        <w:numPr>
          <w:ilvl w:val="0"/>
          <w:numId w:val="1006"/>
        </w:numPr>
      </w:pPr>
      <w:r>
        <w:t xml:space="preserve">Найдите запись в списке результатов или откройте нужный список записей.</w:t>
      </w:r>
    </w:p>
    <w:p>
      <w:pPr>
        <w:pStyle w:val="Compact"/>
        <w:numPr>
          <w:ilvl w:val="0"/>
          <w:numId w:val="1006"/>
        </w:numPr>
      </w:pPr>
      <w:r>
        <w:t xml:space="preserve">Выделите одну строку.</w:t>
      </w:r>
    </w:p>
    <w:p>
      <w:pPr>
        <w:pStyle w:val="Compact"/>
        <w:numPr>
          <w:ilvl w:val="0"/>
          <w:numId w:val="1006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записью. Открытый редактор работает с выбранной записью; если нужно перейти к другой записи, сначала выделите ее в списке.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2 - Панель действий после выбора записи" title="Панель действий после выбора записи" id="43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with-selection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действий после выбора записи</w:t>
      </w:r>
    </w:p>
    <w:p>
      <w:pPr>
        <w:pStyle w:val="BodyText"/>
      </w:pPr>
      <w:r>
        <w:t xml:space="preserve">Если кнопка не появляется после выбора строки, проверьте, что для текущего рабочего места доступно редактирование записей и у пользователя есть нужные права.</w:t>
      </w:r>
    </w:p>
    <w:bookmarkEnd w:id="45"/>
    <w:bookmarkEnd w:id="46"/>
    <w:bookmarkStart w:id="52" w:name="сортировка-результатов-поиска"/>
    <w:p>
      <w:pPr>
        <w:pStyle w:val="Heading3"/>
      </w:pPr>
      <w:r>
        <w:t xml:space="preserve">Сортировка результатов поиска</w:t>
      </w:r>
    </w:p>
    <w:p>
      <w:pPr>
        <w:pStyle w:val="FirstParagraph"/>
      </w:pPr>
      <w:r>
        <w:t xml:space="preserve">Сортировка применяется к уже найденному списку записей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Она не меняет поисковый запрос: АРМ повторно выполняет последний поиск с выбранным критерием и направлением сортировки.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писок найденных записей и выбор сортировки" title="Список найденных записей и выбор сортировки" id="48" name="Picture"/>
            <a:graphic>
              <a:graphicData uri="http://schemas.openxmlformats.org/drawingml/2006/picture">
                <pic:pic>
                  <pic:nvPicPr>
                    <pic:cNvPr descr="modules/Cataloguer/Help/Interface/img/SearchResultSorting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найденных записей и выбор сортировки</w:t>
      </w:r>
    </w:p>
    <w:bookmarkStart w:id="50" w:name="как-отсортировать-найденные-записи"/>
    <w:p>
      <w:pPr>
        <w:pStyle w:val="Heading4"/>
      </w:pPr>
      <w:r>
        <w:t xml:space="preserve">1. Как отсортировать найденные записи</w:t>
      </w:r>
    </w:p>
    <w:p>
      <w:pPr>
        <w:pStyle w:val="Compact"/>
        <w:numPr>
          <w:ilvl w:val="0"/>
          <w:numId w:val="1007"/>
        </w:numPr>
      </w:pPr>
      <w:r>
        <w:t xml:space="preserve">Выполните поиск в выбранной БД.</w:t>
      </w:r>
    </w:p>
    <w:p>
      <w:pPr>
        <w:pStyle w:val="Compact"/>
        <w:numPr>
          <w:ilvl w:val="0"/>
          <w:numId w:val="1007"/>
        </w:numPr>
      </w:pPr>
      <w:r>
        <w:t xml:space="preserve">В верхней панели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откройте список сортировки. До выбора в нем отображается значение</w:t>
      </w:r>
      <w:r>
        <w:t xml:space="preserve"> </w:t>
      </w:r>
      <w:r>
        <w:rPr>
          <w:rStyle w:val="VerbatimChar"/>
        </w:rPr>
        <w:t xml:space="preserve">По умолчанию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Выберите нужный вариант, например</w:t>
      </w:r>
      <w:r>
        <w:t xml:space="preserve"> </w:t>
      </w:r>
      <w:r>
        <w:rPr>
          <w:rStyle w:val="VerbatimChar"/>
        </w:rPr>
        <w:t xml:space="preserve">По заглавию (по возрастанию)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По заглавию (по убыванию)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Дождитесь обновления списка. На странице останется тот же поисковый запрос, но порядок записей изменится по выбранному правилу.</w:t>
      </w:r>
    </w:p>
    <w:p>
      <w:pPr>
        <w:pStyle w:val="FirstParagraph"/>
      </w:pPr>
      <w:r>
        <w:t xml:space="preserve">Чтобы вернуться к исходному порядку, выполните поиск заново. При новом поиске и при смене БД выбранная сортировка сбрасывается.</w:t>
      </w:r>
    </w:p>
    <w:bookmarkEnd w:id="50"/>
    <w:bookmarkStart w:id="51" w:name="откуда-берется-список-сортировок"/>
    <w:p>
      <w:pPr>
        <w:pStyle w:val="Heading4"/>
      </w:pPr>
      <w:r>
        <w:t xml:space="preserve">2. Откуда берется список сортировок</w:t>
      </w:r>
    </w:p>
    <w:p>
      <w:pPr>
        <w:pStyle w:val="FirstParagraph"/>
      </w:pPr>
      <w:r>
        <w:t xml:space="preserve">Набор вариантов зависит от настроек выбранной БД. В карточке БД администратор задает критерии сортировки в поле</w:t>
      </w:r>
      <w:r>
        <w:t xml:space="preserve"> </w:t>
      </w:r>
      <w:r>
        <w:rPr>
          <w:rStyle w:val="VerbatimChar"/>
        </w:rPr>
        <w:t xml:space="preserve">219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хранит имя формата сортировки или префикс словаря,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название, которое видит пользователь.</w:t>
      </w:r>
    </w:p>
    <w:p>
      <w:pPr>
        <w:pStyle w:val="BodyText"/>
      </w:pPr>
      <w:r>
        <w:t xml:space="preserve">Если для БД включена префиксная сортировка, АРМ сортирует найденные MFN по подготовленному словарному кэшу. Если префиксная сортировка отключена, значение критерия передается как имя SRW-формата сортировки.</w:t>
      </w:r>
    </w:p>
    <w:p>
      <w:pPr>
        <w:pStyle w:val="BodyText"/>
      </w:pPr>
      <w:r>
        <w:t xml:space="preserve">Список сортировки отображается только когда в профиле АРМ «Каталогизатор» включен параметр</w:t>
      </w:r>
      <w:r>
        <w:t xml:space="preserve"> </w:t>
      </w:r>
      <w:r>
        <w:rPr>
          <w:rStyle w:val="VerbatimChar"/>
        </w:rPr>
        <w:t xml:space="preserve">Показывать сортировку в результатах поиска</w:t>
      </w:r>
      <w:r>
        <w:t xml:space="preserve">.</w:t>
      </w:r>
    </w:p>
    <w:bookmarkEnd w:id="51"/>
    <w:bookmarkEnd w:id="52"/>
    <w:bookmarkEnd w:id="53"/>
    <w:bookmarkStart w:id="60" w:name="область-состояний"/>
    <w:p>
      <w:pPr>
        <w:pStyle w:val="Heading2"/>
      </w:pPr>
      <w:r>
        <w:t xml:space="preserve">Область состояний</w:t>
      </w:r>
    </w:p>
    <w:p>
      <w:pPr>
        <w:pStyle w:val="FirstParagraph"/>
      </w:pPr>
      <w:r>
        <w:t xml:space="preserve">Область состояний расположена в нижней части окна АРМ Каталогизатор. Она отображает команду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и строку текущего пользователя с выбранным профилем.</w:t>
      </w:r>
    </w:p>
    <w:p>
      <w:pPr>
        <w:pStyle w:val="CaptionedFigure"/>
      </w:pPr>
      <w:r>
        <w:drawing>
          <wp:inline>
            <wp:extent cx="5334000" cy="128166"/>
            <wp:effectExtent b="0" l="0" r="0" t="0"/>
            <wp:docPr descr="Рисунок 1 - Область состояний АРМ Каталогизатор" title="Область состояний АРМ Каталогизатор" id="55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status-panel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81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состояний АРМ Каталогизатор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открывает страницу выбора профиля АРМ Каталогизатор. После выбора другого профиля АРМ перечитывает настройки пользователя: доступные базы данных, этап работы, форматы и набор разрешенных операций.</w:t>
      </w:r>
    </w:p>
    <w:p>
      <w:pPr>
        <w:pStyle w:val="BodyText"/>
      </w:pPr>
      <w:r>
        <w:t xml:space="preserve">Если текст в блоках области состояний не помещается полностью, наведите указатель мыши на соответствующий блок. Во всплывающей подсказке отображается полное значение, поэтому можно проверить длинное имя профиля или пользователя без изменения масштаба страницы.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находится не в области состояний, а в правой части верхней панели. Такое расположение сохраняет доступ к завершению сеанса,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Кнопка выхода и нижняя панель профиля в АРМ Каталогизатор" title="Кнопка выхода и нижняя панель профиля в АРМ Каталогизатор" id="58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profile-panel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Кнопка выхода и нижняя панель профиля в АРМ Каталогизатор</w:t>
      </w:r>
    </w:p>
    <w:bookmarkEnd w:id="60"/>
    <w:bookmarkEnd w:id="6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32" Target="media/rId32.png" /><Relationship Type="http://schemas.openxmlformats.org/officeDocument/2006/relationships/image" Id="rId39" Target="media/rId39.png" /><Relationship Type="http://schemas.openxmlformats.org/officeDocument/2006/relationships/image" Id="rId42" Target="media/rId42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47" Target="media/rId47.png" /><Relationship Type="http://schemas.openxmlformats.org/officeDocument/2006/relationships/image" Id="rId57" Target="media/rId57.png" /><Relationship Type="http://schemas.openxmlformats.org/officeDocument/2006/relationships/image" Id="rId54" Target="media/rId54.png" /><Relationship Type="http://schemas.openxmlformats.org/officeDocument/2006/relationships/hyperlink" Id="rId15" Target="?id=Help/Show&amp;m=Cataloguer/Help/Interface/BBar" TargetMode="External" /><Relationship Type="http://schemas.openxmlformats.org/officeDocument/2006/relationships/hyperlink" Id="rId13" Target="?id=Help/Show&amp;m=Cataloguer/Help/Interface/Dictionary" TargetMode="External" /><Relationship Type="http://schemas.openxmlformats.org/officeDocument/2006/relationships/hyperlink" Id="rId14" Target="?id=Help/Show&amp;m=Cataloguer/Help/Interface/RecList" TargetMode="External" /><Relationship Type="http://schemas.openxmlformats.org/officeDocument/2006/relationships/hyperlink" Id="rId12" Target="?id=Help/Show&amp;m=Cataloguer/Help/Interface/TBar" TargetMode="External" /><Relationship Type="http://schemas.openxmlformats.org/officeDocument/2006/relationships/hyperlink" Id="rId36" Target="?id=Help/Show&amp;m=Help/Module/Actions&amp;module=Cataloguer#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Cataloguer/Help/Interface/BBar" TargetMode="External" /><Relationship Type="http://schemas.openxmlformats.org/officeDocument/2006/relationships/hyperlink" Id="rId13" Target="?id=Help/Show&amp;m=Cataloguer/Help/Interface/Dictionary" TargetMode="External" /><Relationship Type="http://schemas.openxmlformats.org/officeDocument/2006/relationships/hyperlink" Id="rId14" Target="?id=Help/Show&amp;m=Cataloguer/Help/Interface/RecList" TargetMode="External" /><Relationship Type="http://schemas.openxmlformats.org/officeDocument/2006/relationships/hyperlink" Id="rId12" Target="?id=Help/Show&amp;m=Cataloguer/Help/Interface/TBar" TargetMode="External" /><Relationship Type="http://schemas.openxmlformats.org/officeDocument/2006/relationships/hyperlink" Id="rId36" Target="?id=Help/Show&amp;m=Help/Module/Actions&amp;module=Cataloguer#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Интерфейс АРМ Каталогизатор</dc:title>
  <dc:creator/>
  <cp:keywords/>
  <dcterms:created xsi:type="dcterms:W3CDTF">2026-10-06T02:40:52Z</dcterms:created>
  <dcterms:modified xsi:type="dcterms:W3CDTF">2026-10-06T02:40:52Z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