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Архитектура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архитектура-workflow"/>
    <w:p>
      <w:pPr>
        <w:pStyle w:val="Heading1"/>
      </w:pPr>
      <w:r>
        <w:t xml:space="preserve">Архитектура Workflow</w:t>
      </w:r>
    </w:p>
    <w:p>
      <w:pPr>
        <w:pStyle w:val="FirstParagraph"/>
      </w:pPr>
      <w:r>
        <w:t xml:space="preserve">Workflow построен как набор независимых модулей, каждый из которых отвечает за один вид настройки.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</w:p>
        </w:tc>
        <w:tc>
          <w:tcPr/>
          <w:p>
            <w:pPr>
              <w:pStyle w:val="Compact"/>
            </w:pPr>
            <w:r>
              <w:t xml:space="preserve">Ответственность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t xml:space="preserve">Рабочий процесс и общий механизм выполнения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t xml:space="preserve">Проект, связывающий типы записей с workflow, схемами, идентификаторами и правами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t xml:space="preserve">Статусы конкретного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t xml:space="preserve">Переходы между статусами и post-functions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t xml:space="preserve">Экран he3 для запроса данных перед операцией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экранов для операций и типов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t xml:space="preserve">Фильтр списка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фильтра для страницы и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t xml:space="preserve">Настройка списочного или карточного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представления для страницы и типа записи</w:t>
            </w:r>
          </w:p>
        </w:tc>
      </w:tr>
    </w:tbl>
    <w:bookmarkStart w:id="9" w:name="основные-связи"/>
    <w:p>
      <w:pPr>
        <w:pStyle w:val="Heading2"/>
      </w:pPr>
      <w:r>
        <w:t xml:space="preserve">1. Основные связи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является точкой входа для прикладного сценария. Проект выбирает workflow по умолчанию, может переопределять его для отдельных системных типов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определяет модуль-владелец и физическую модель записи, а проектный тип объекта выбирает workflow, начальный статус, схемы экранов, фильтров, представлений и профиль полей внутри проекта.</w:t>
      </w:r>
    </w:p>
    <w:p>
      <w:pPr>
        <w:pStyle w:val="BodyText"/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содержит только общую карточку рабочего процесса. Его статусы, переходы, экраны, фильтры и представления хранятся отдельными записями, связанными с workflow через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связывает исходные статусы, целевой статус,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, condition-формат, экран и post-functions. Если переход помечен как</w:t>
      </w:r>
      <w:r>
        <w:t xml:space="preserve"> </w:t>
      </w:r>
      <w:r>
        <w:rPr>
          <w:rStyle w:val="VerbatimChar"/>
        </w:rPr>
        <w:t xml:space="preserve">keepStatus</w:t>
      </w:r>
      <w:r>
        <w:t xml:space="preserve">, он выполняет действие без смены статуса.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вместе формируют универсальные страницы списков.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выбирает представление по ключу страницы и является источником состава верхней навигации проекта: в меню попадают только страницы, перечисленные в активной схеме представлений.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выбирает фильтр по тому же ключу страницы.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пункта меню: группу, порядок, признак показа, тип страницы, canonical route и badge-фильтр.</w:t>
      </w:r>
    </w:p>
    <w:bookmarkEnd w:id="9"/>
    <w:bookmarkStart w:id="10" w:name="состояние-записи"/>
    <w:p>
      <w:pPr>
        <w:pStyle w:val="Heading2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владельца workflow, если он известен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владельца,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владельца, например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текущий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113^G</w:t>
            </w:r>
          </w:p>
        </w:tc>
        <w:tc>
          <w:tcPr/>
          <w:p>
            <w:pPr>
              <w:pStyle w:val="Compact"/>
            </w:pPr>
            <w:r>
              <w:t xml:space="preserve">дата и время входа в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113^H</w:t>
            </w:r>
          </w:p>
        </w:tc>
        <w:tc>
          <w:tcPr/>
          <w:p>
            <w:pPr>
              <w:pStyle w:val="Compact"/>
            </w:pPr>
            <w:r>
              <w:t xml:space="preserve">ключ последнего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113^I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объекта, если он выбран для этого проекта</w:t>
            </w:r>
          </w:p>
        </w:tc>
      </w:tr>
    </w:tbl>
    <w:p>
      <w:pPr>
        <w:pStyle w:val="BodyText"/>
      </w:pPr>
      <w:r>
        <w:t xml:space="preserve">Одна запись может иметь несколько вхождений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для разных владельцев workflow. Это позволяет одной записи участвовать в нескольких проектах или workflow одновременно, если прикладной сценарий это использует.</w:t>
      </w:r>
    </w:p>
    <w:bookmarkEnd w:id="10"/>
    <w:bookmarkStart w:id="11" w:name="история"/>
    <w:p>
      <w:pPr>
        <w:pStyle w:val="Heading2"/>
      </w:pPr>
      <w:r>
        <w:t xml:space="preserve">3. История</w:t>
      </w:r>
    </w:p>
    <w:p>
      <w:pPr>
        <w:pStyle w:val="FirstParagraph"/>
      </w:pPr>
      <w:r>
        <w:t xml:space="preserve">Workflow пишет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Для workflow-событий используются подполя: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907^A</w:t>
            </w:r>
          </w:p>
        </w:tc>
        <w:tc>
          <w:tcPr/>
          <w:p>
            <w:pPr>
              <w:pStyle w:val="Compact"/>
            </w:pPr>
            <w:r>
              <w:t xml:space="preserve">дата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YYYYMMDD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907^T</w:t>
            </w:r>
          </w:p>
        </w:tc>
        <w:tc>
          <w:tcPr/>
          <w:p>
            <w:pPr>
              <w:pStyle w:val="Compact"/>
            </w:pPr>
            <w:r>
              <w:t xml:space="preserve">время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HHMMSS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907^B</w:t>
            </w:r>
          </w:p>
        </w:tc>
        <w:tc>
          <w:tcPr/>
          <w:p>
            <w:pPr>
              <w:pStyle w:val="Compact"/>
            </w:pPr>
            <w:r>
              <w:t xml:space="preserve">логин исполнителя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907^C</w:t>
            </w:r>
          </w:p>
        </w:tc>
        <w:tc>
          <w:tcPr/>
          <w:p>
            <w:pPr>
              <w:pStyle w:val="Compact"/>
            </w:pPr>
            <w:r>
              <w:t xml:space="preserve">тип события, для workflow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907^D</w:t>
            </w:r>
          </w:p>
        </w:tc>
        <w:tc>
          <w:tcPr/>
          <w:p>
            <w:pPr>
              <w:pStyle w:val="Compact"/>
            </w:pPr>
            <w:r>
              <w:t xml:space="preserve">название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907^E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907^F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907^G</w:t>
            </w:r>
          </w:p>
        </w:tc>
        <w:tc>
          <w:tcPr/>
          <w:p>
            <w:pPr>
              <w:pStyle w:val="Compact"/>
            </w:pPr>
            <w:r>
              <w:t xml:space="preserve">комментарий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907^W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907^P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907^N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907^U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</w:tbl>
    <w:p>
      <w:pPr>
        <w:pStyle w:val="BodyText"/>
      </w:pPr>
      <w:r>
        <w:t xml:space="preserve">Историю можно выводить стандартной функцией</w:t>
      </w:r>
      <w:r>
        <w:t xml:space="preserve"> </w:t>
      </w:r>
      <w:r>
        <w:rPr>
          <w:rStyle w:val="VerbatimChar"/>
        </w:rPr>
        <w:t xml:space="preserve">Workflow::RenderRecordHistory</w:t>
      </w:r>
      <w:r>
        <w:t xml:space="preserve">.</w:t>
      </w:r>
    </w:p>
    <w:bookmarkEnd w:id="11"/>
    <w:bookmarkStart w:id="12" w:name="права"/>
    <w:p>
      <w:pPr>
        <w:pStyle w:val="Heading2"/>
      </w:pPr>
      <w:r>
        <w:t xml:space="preserve">4. Права</w:t>
      </w:r>
    </w:p>
    <w:p>
      <w:pPr>
        <w:pStyle w:val="FirstParagraph"/>
      </w:pPr>
      <w:r>
        <w:t xml:space="preserve">Настройка доступа следует общей модели прав ИРБИС 128:</w:t>
      </w:r>
    </w:p>
    <w:p>
      <w:pPr>
        <w:pStyle w:val="Compact"/>
        <w:numPr>
          <w:ilvl w:val="0"/>
          <w:numId w:val="1001"/>
        </w:numPr>
      </w:pPr>
      <w:r>
        <w:t xml:space="preserve">право на выполнение перехода задается 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право на просмотр и редактирование настроек задается на соответствующих записях;</w:t>
      </w:r>
    </w:p>
    <w:p>
      <w:pPr>
        <w:pStyle w:val="Compact"/>
        <w:numPr>
          <w:ilvl w:val="0"/>
          <w:numId w:val="1001"/>
        </w:numPr>
      </w:pPr>
      <w:r>
        <w:t xml:space="preserve">системные записи защищаются признаком системной поставки и обычно недоступны для редактирования;</w:t>
      </w:r>
    </w:p>
    <w:p>
      <w:pPr>
        <w:pStyle w:val="Compact"/>
        <w:numPr>
          <w:ilvl w:val="0"/>
          <w:numId w:val="1001"/>
        </w:numPr>
      </w:pPr>
      <w:r>
        <w:t xml:space="preserve">при копировании проекта создается пользовательская копия с собственными правами.</w:t>
      </w:r>
    </w:p>
    <w:bookmarkEnd w:id="12"/>
    <w:bookmarkStart w:id="13" w:name="расширение-прикладными-модулями"/>
    <w:p>
      <w:pPr>
        <w:pStyle w:val="Heading2"/>
      </w:pPr>
      <w:r>
        <w:t xml:space="preserve">5. Расширение прикладными модулями</w:t>
      </w:r>
    </w:p>
    <w:p>
      <w:pPr>
        <w:pStyle w:val="FirstParagraph"/>
      </w:pPr>
      <w:r>
        <w:t xml:space="preserve">Прикладной модуль обычно отвечает только за доменную часть:</w:t>
      </w:r>
    </w:p>
    <w:p>
      <w:pPr>
        <w:pStyle w:val="Compact"/>
        <w:numPr>
          <w:ilvl w:val="0"/>
          <w:numId w:val="1002"/>
        </w:numPr>
      </w:pPr>
      <w:r>
        <w:t xml:space="preserve">предоставляет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вложенные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предоставляет форматы для колонок, секций карточек, дополнительных заголовочных блоков, доступа и conditions;</w:t>
      </w:r>
    </w:p>
    <w:p>
      <w:pPr>
        <w:pStyle w:val="Compact"/>
        <w:numPr>
          <w:ilvl w:val="0"/>
          <w:numId w:val="1002"/>
        </w:numPr>
      </w:pPr>
      <w:r>
        <w:t xml:space="preserve">реализует workflow-команды в</w:t>
      </w:r>
      <w:r>
        <w:t xml:space="preserve"> </w:t>
      </w:r>
      <w:r>
        <w:rPr>
          <w:rStyle w:val="VerbatimChar"/>
        </w:rPr>
        <w:t xml:space="preserve">__call/Workflow/*.inc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поставляет системный JSON с проектом и связанными настройками.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Архитектура Workflow</dc:title>
  <dc:creator/>
  <cp:keywords/>
  <dcterms:created xsi:type="dcterms:W3CDTF">2026-10-08T11:47:39Z</dcterms:created>
  <dcterms:modified xsi:type="dcterms:W3CDTF">2026-10-08T11:47:39Z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