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Поставщики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ставщики-ai"/>
    <w:p>
      <w:pPr>
        <w:pStyle w:val="Heading1"/>
      </w:pPr>
      <w:r>
        <w:t xml:space="preserve">Поставщики AI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хранит безопасный реестр поставщиков AI: stable key, тип provider-а, признаки локальной/внешней/offline обработки, endpoint metadata, режим авторизации, ссылку на секрет и readiness-состояние.</w:t>
      </w:r>
    </w:p>
    <w:p>
      <w:pPr>
        <w:pStyle w:val="BodyText"/>
      </w:pPr>
      <w:r>
        <w:t xml:space="preserve">Секреты в записи поставщика не хранятся. В записи указывается только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, а фактическое хранение, ротация и доступность секрета принадлежат модулю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AIProvider</w:t>
      </w:r>
      <w:r>
        <w:t xml:space="preserve"> </w:t>
      </w:r>
      <w:r>
        <w:t xml:space="preserve">не вызывает модель и не выполняет AI-операции. Его задача - дать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безопасные данные для explainable routing, HealthCheck, TestA и административной диагностики.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Поставщики AI</dc:title>
  <dc:creator/>
  <cp:keywords/>
  <dcterms:created xsi:type="dcterms:W3CDTF">2026-10-07T18:56:26Z</dcterms:created>
  <dcterms:modified xsi:type="dcterms:W3CDTF">2026-10-07T18:56:26Z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