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[I128-2830] Реестр API-контрактов и профилей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e2aa6320a405942a58ccd7adb8c7afd2f75b542"/>
    <w:p>
      <w:pPr>
        <w:pStyle w:val="Heading1"/>
      </w:pPr>
      <w:r>
        <w:t xml:space="preserve">[I128-2830] Реестр API-контрактов и профилей внешней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13:49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существующий модуль API так, чтобы он стал владельцем реестра публичных API-контрактов и базовых профилей внешней интеграции ИРБИС 128.</w:t>
      </w:r>
    </w:p>
    <w:p>
      <w:pPr>
        <w:pStyle w:val="BodyText"/>
      </w:pPr>
      <w:r>
        <w:t xml:space="preserve">Внешний потребитель должен получать стабильное машиночитаемое описание доступных методов и ресурсов, их версий, параметров, типов ответов, ошибок, прав, правил идемпотентности и диагностических признаков. Администратор должен иметь возможность видеть опубликованные API-контракты и создавать базовые integration adapter profiles без превращения предметных модулей в частные интеграционные прокладки.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системе уже есть модуль API, который является единой точкой JSON-RPC сервисов для внешних приложений. Сейчас он в основном вручную собирает методы, реализованные в Users, RQST, Bookland, EC и Database, а транспортные модули JSONRPC и REST занимаются приемом запросов и маршрутизацией.</w:t>
      </w:r>
    </w:p>
    <w:p>
      <w:pPr>
        <w:pStyle w:val="BodyText"/>
      </w:pPr>
      <w:r>
        <w:t xml:space="preserve">Нужно развить этот существующий модуль, а не создавать новый системный API</w:t>
      </w:r>
      <w:r>
        <w:rPr>
          <w:strike/>
        </w:rPr>
        <w:t xml:space="preserve">модуль. Доменные модули продолжают владеть своей бизнес</w:t>
      </w:r>
      <w:r>
        <w:t xml:space="preserve">логикой и API</w:t>
      </w:r>
      <w:r>
        <w:rPr>
          <w:strike/>
        </w:rPr>
        <w:t xml:space="preserve">методами, но API должен владеть опубликованным контрактом, версиями, правилами публикации, профилями интеграции и диагностикой API</w:t>
      </w:r>
      <w:r>
        <w:t xml:space="preserve">поверхности.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в модуле API реестр APIContract. Контракт должен иметь стабильный ключ, название, назначение, версию, статус публикации, список методов и ресурсов, supported transports, правила совместимости, deprecation policy, ссылку на Help и TestA-сценарии.</w:t>
      </w:r>
    </w:p>
    <w:p>
      <w:pPr>
        <w:pStyle w:val="BodyText"/>
      </w:pPr>
      <w:r>
        <w:t xml:space="preserve">Нужно стандартизировать metadata для API</w:t>
      </w:r>
      <w:r>
        <w:t xml:space="preserve">методов, публикуемых доменными модулями через существующий паттерн __call/API. Для метода должны быть доступны stable key, название, описание, параметры, типы, обязательность, значения по умолчанию, схема ответа, коды ошибок, требования к правам, idempotency class, trace propagation и признак поддержки dry</w:t>
      </w:r>
      <w:r>
        <w:t xml:space="preserve">run.</w:t>
      </w:r>
    </w:p>
    <w:p>
      <w:pPr>
        <w:pStyle w:val="BodyText"/>
      </w:pPr>
      <w:r>
        <w:t xml:space="preserve">Нужно представить существующие JSON-RPC методы API как initial или legacy contract без изменения их текущего поведения. В этот контракт должны попасть методы работы с читателями, заказами, продлением, экземплярами, поиском, словарями и фасетами, если они уже публикуются через текущий API.</w:t>
      </w:r>
    </w:p>
    <w:p>
      <w:pPr>
        <w:pStyle w:val="BodyText"/>
      </w:pPr>
      <w:r>
        <w:t xml:space="preserve">Нужно реализовать базовую модель IntegrationAdapterProfile. Профиль должен иметь стабильный ключ, название внешней системы или класса интеграции, направление обмена, ссылку на APIContract и версию, transport profile, service account или другой security subject, ссылки на секреты, mapping metadata, idempotency policy, external id policy, режим dry-run и диагностические признаки.</w:t>
      </w:r>
    </w:p>
    <w:p>
      <w:pPr>
        <w:pStyle w:val="BodyText"/>
      </w:pPr>
      <w:r>
        <w:t xml:space="preserve">Нужно заложить поддержку mapping metadata без реализации полноценного двустороннего sync. Mapping должен ссылаться на стабильные field keys из FieldConfiguration, workflow</w:t>
      </w:r>
      <w:r>
        <w:t xml:space="preserve">статусы и переходы из Workflow*, пользователей и организации через соответствующие resolver</w:t>
      </w:r>
      <w:r>
        <w:t xml:space="preserve">ы, файлы через FT и secret references через Security/Secrets.</w:t>
      </w:r>
    </w:p>
    <w:p>
      <w:pPr>
        <w:pStyle w:val="BodyText"/>
      </w:pPr>
      <w:r>
        <w:t xml:space="preserve">Нужно описать API-level idempotency contract для изменяющих операций: adapter profile, operation, object type, external id, fingerprint payload, TTL, результат повторного вызова, конфликт при другом fingerprint и связь с TraceContext.</w:t>
      </w:r>
    </w:p>
    <w:p>
      <w:pPr>
        <w:pStyle w:val="BodyText"/>
      </w:pPr>
      <w:r>
        <w:t xml:space="preserve">Нужно добавить API diagnostics: contract version, adapter profile, method, subject, trace id, idempotency decision, результат проверки прав, безопасные details и ссылки на HealthCheck. Диагностика не должна раскрывать секреты, скрытые поля, закрытые записи и персональные данные без прав.</w:t>
      </w:r>
    </w:p>
    <w:p>
      <w:pPr>
        <w:pStyle w:val="BodyText"/>
      </w:pPr>
      <w:r>
        <w:t xml:space="preserve">Нужно добавить HealthCheck provider для API: проверка опубликованных контрактов, доступности методов, корректности metadata, ссылок на transports, прав, secret references, mapping metadata, TestA coverage и устаревших deprecation-состояний.</w:t>
      </w:r>
    </w:p>
    <w:p>
      <w:pPr>
        <w:pStyle w:val="BodyText"/>
      </w:pPr>
      <w:r>
        <w:t xml:space="preserve">Нужно подготовить TestA</w:t>
      </w:r>
      <w:r>
        <w:rPr>
          <w:strike/>
        </w:rPr>
        <w:t xml:space="preserve">сценарии для экспорта APIContract, доступности legacy JSON</w:t>
      </w:r>
      <w:r>
        <w:t xml:space="preserve">RPC методов через published contract, проверки типов параметров, ошибок, прав, idempotency и отсутствия secret values в ответах, логах и diagnostics.</w:t>
      </w:r>
    </w:p>
    <w:p>
      <w:pPr>
        <w:pStyle w:val="BodyText"/>
      </w:pPr>
      <w:r>
        <w:t xml:space="preserve">Нужно обновить Help модуля API: назначение API как владельца контрактов и profiles, отличие API от JSONRPC/REST, публикация contract, настройка adapter profile, idempotency, trace id, dry-run, диагностика и безопасная работа с секретами.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API владеет API</w:t>
      </w:r>
      <w:r>
        <w:rPr>
          <w:strike/>
        </w:rPr>
        <w:t xml:space="preserve">контрактами, версиями методов и ресурсов, integration adapter profiles, mapping metadata, external id contract, API</w:t>
      </w:r>
      <w:r>
        <w:t xml:space="preserve">level idempotency, deprecation policy, dry</w:t>
      </w:r>
      <w:r>
        <w:rPr>
          <w:strike/>
        </w:rPr>
        <w:t xml:space="preserve">run API</w:t>
      </w:r>
      <w:r>
        <w:t xml:space="preserve">операций и API diagnostics.</w:t>
      </w:r>
    </w:p>
    <w:p>
      <w:pPr>
        <w:pStyle w:val="BodyText"/>
      </w:pPr>
      <w:r>
        <w:t xml:space="preserve">JSONRPC и REST остаются transport</w:t>
      </w:r>
      <w:r>
        <w:rPr>
          <w:strike/>
        </w:rPr>
        <w:t xml:space="preserve">слоями. Они принимают запросы, разбирают envelope или маршрут и передают вызов дальше, но не владеют контрактами, версиями, профилями интеграции и бизнес</w:t>
      </w:r>
      <w:r>
        <w:t xml:space="preserve">методами.</w:t>
      </w:r>
    </w:p>
    <w:p>
      <w:pPr>
        <w:pStyle w:val="BodyText"/>
      </w:pPr>
      <w:r>
        <w:t xml:space="preserve">EventBus остается владельцем событий, event log, inbox/outbox, webhook delivery, subscriptions, retry и dead-letter доставки. API может ссылаться на event contract, но не должен становиться event bus.</w:t>
      </w:r>
    </w:p>
    <w:p>
      <w:pPr>
        <w:pStyle w:val="BodyText"/>
      </w:pPr>
      <w:r>
        <w:t xml:space="preserve">Queue остается владельцем фонового выполнения, worker runtime, scheduling, retry/backoff/timeout и job dead-letter. API может ставить или инициировать фоновые операции через общий контракт, но не исполняет queue runtime.</w:t>
      </w:r>
    </w:p>
    <w:p>
      <w:pPr>
        <w:pStyle w:val="BodyText"/>
      </w:pPr>
      <w:r>
        <w:t xml:space="preserve">Security остается владельцем прав, grants/denies, ролей, field/view security, masking и audit доступа. API обязан вызывать Security, но не реализует собственный параллельный механизм прав.</w:t>
      </w:r>
    </w:p>
    <w:p>
      <w:pPr>
        <w:pStyle w:val="BodyText"/>
      </w:pPr>
      <w:r>
        <w:t xml:space="preserve">Secrets хранятся только как ссылки на защищенные секреты. Значения секретов не должны попадать в API export, logs, diagnostics, events, TestA expected results или Help examples.</w:t>
      </w:r>
    </w:p>
    <w:p>
      <w:pPr>
        <w:pStyle w:val="BodyText"/>
      </w:pPr>
      <w:r>
        <w:t xml:space="preserve">Доменные модули владеют бизнес</w:t>
      </w:r>
      <w:r>
        <w:rPr>
          <w:strike/>
        </w:rPr>
        <w:t xml:space="preserve">операциями, структурой своих записей, применением изменений и safe resolver</w:t>
      </w:r>
      <w:r>
        <w:t xml:space="preserve">ами. API не должен знать внутреннюю модель Tasks, VirtualRef, RQST, Users, EC или других предметных модулей сверх опубликованного contract metadata.</w:t>
      </w:r>
    </w:p>
    <w:p>
      <w:pPr>
        <w:pStyle w:val="BodyText"/>
      </w:pPr>
      <w:r>
        <w:t xml:space="preserve">В этот срез не входит полноценный bidirectional sync runtime, сложное conflict resolution, реализация конкретного Jira adapter, внешнего ticket-system adapter, почтового adapter или webhook adapter. Эти задачи должны заводиться отдельно после выбора внешнего потребителя и adapter profile.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В модуле API есть реестр APIContract с версиями, статусами публикации, списком методов/ресурсов, supported transports и deprecation policy.</w:t>
      </w:r>
    </w:p>
    <w:p>
      <w:pPr>
        <w:pStyle w:val="BodyText"/>
      </w:pPr>
      <w:r>
        <w:t xml:space="preserve">Существующие JSON-RPC методы API представлены в initial или legacy contract и продолжают работать совместимо со старой точкой JSONRPC.php?i128Module=API.</w:t>
      </w:r>
    </w:p>
    <w:p>
      <w:pPr>
        <w:pStyle w:val="BodyText"/>
      </w:pPr>
      <w:r>
        <w:t xml:space="preserve">Доменные __call/API-методы могут отдавать стандартизированные metadata, достаточные для публикации метода в APIContract.</w:t>
      </w:r>
    </w:p>
    <w:p>
      <w:pPr>
        <w:pStyle w:val="BodyText"/>
      </w:pPr>
      <w:r>
        <w:t xml:space="preserve">Администратор может увидеть API contracts, опубликованные методы, версии, статусы и базовые integration adapter profiles.</w:t>
      </w:r>
    </w:p>
    <w:p>
      <w:pPr>
        <w:pStyle w:val="BodyText"/>
      </w:pPr>
      <w:r>
        <w:t xml:space="preserve">Базовый IntegrationAdapterProfile можно создать, проверить через HealthCheck и использовать как настройку для будущей интеграции без реализации конкретного внешнего adapter-а.</w:t>
      </w:r>
    </w:p>
    <w:p>
      <w:pPr>
        <w:pStyle w:val="BodyText"/>
      </w:pPr>
      <w:r>
        <w:t xml:space="preserve">API-level idempotency для изменяющих операций описывает scope, fingerprint, TTL, повтор с тем же payload и конфликт при другом payload.</w:t>
      </w:r>
    </w:p>
    <w:p>
      <w:pPr>
        <w:pStyle w:val="BodyText"/>
      </w:pPr>
      <w:r>
        <w:t xml:space="preserve">TraceContext проходит через API request и доступен в diagnostics.</w:t>
      </w:r>
    </w:p>
    <w:p>
      <w:pPr>
        <w:pStyle w:val="BodyText"/>
      </w:pPr>
      <w:r>
        <w:t xml:space="preserve">Права на contract, profile, method, object, field и file проверяются через Security.</w:t>
      </w:r>
    </w:p>
    <w:p>
      <w:pPr>
        <w:pStyle w:val="BodyText"/>
      </w:pPr>
      <w:r>
        <w:t xml:space="preserve">Secret values нигде не раскрываются через export, logs, diagnostics, events, Help или TestA.</w:t>
      </w:r>
    </w:p>
    <w:p>
      <w:pPr>
        <w:pStyle w:val="BodyText"/>
      </w:pPr>
      <w:r>
        <w:t xml:space="preserve">JSONRPC и REST не получают новую ответственность за contract registry или integration profiles.</w:t>
      </w:r>
    </w:p>
    <w:p>
      <w:pPr>
        <w:pStyle w:val="BodyText"/>
      </w:pPr>
      <w:r>
        <w:t xml:space="preserve">EventBus, Queue, Security, Secrets, FieldConfiguration, Workflow*, FT, Observability и доменные модули используются только через свои контракты.</w:t>
      </w:r>
    </w:p>
    <w:p>
      <w:pPr>
        <w:pStyle w:val="BodyText"/>
      </w:pPr>
      <w:r>
        <w:t xml:space="preserve">HealthCheck показывает понятные ошибки битых методов, metadata, transport references, secret references, permission bindings, mapping metadata и TestA coverage.</w:t>
      </w:r>
    </w:p>
    <w:p>
      <w:pPr>
        <w:pStyle w:val="BodyText"/>
      </w:pPr>
      <w:r>
        <w:t xml:space="preserve">TestA покрывает published contract export, legacy method compatibility, metadata validation, rights denial, idempotency repeat/conflict, trace propagation и отсутствие раскрытия секретов.</w:t>
      </w:r>
    </w:p>
    <w:p>
      <w:pPr>
        <w:pStyle w:val="BodyText"/>
      </w:pPr>
      <w:r>
        <w:t xml:space="preserve">Help содержит руководство администратора и разработчика по контрактам API, adapter profiles, metadata __call/API, idempotency, trace id, diagnostics и границам с transport-модулями.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I128-2830 для существующего модуля API.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реестр APIContract с системным legacy JSON</w:t>
      </w:r>
      <w:r>
        <w:rPr>
          <w:strike/>
        </w:rPr>
        <w:t xml:space="preserve">RPC контрактом api.legacy</w:t>
      </w:r>
      <w:r>
        <w:t xml:space="preserve">jsonrpc.v1;</w:t>
      </w:r>
      <w:r>
        <w:t xml:space="preserve"> </w:t>
      </w:r>
      <w:r>
        <w:t xml:space="preserve">- описаны metadata текущих JSON-RPC методов без изменения их поведения;</w:t>
      </w:r>
      <w:r>
        <w:t xml:space="preserve"> </w:t>
      </w:r>
      <w:r>
        <w:t xml:space="preserve">- добавлены схемы IntegrationAdapterProfile, idempotency policy и diagnostics;</w:t>
      </w:r>
      <w:r>
        <w:t xml:space="preserve"> </w:t>
      </w:r>
      <w:r>
        <w:t xml:space="preserve">- добавлены чтение record</w:t>
      </w:r>
      <w:r>
        <w:rPr>
          <w:strike/>
        </w:rPr>
        <w:t xml:space="preserve">backed API</w:t>
      </w:r>
      <w:r>
        <w:t xml:space="preserve">контрактов/профилей, валидаторы и API/CheckHealth;</w:t>
      </w:r>
      <w:r>
        <w:t xml:space="preserve"> </w:t>
      </w:r>
      <w:r>
        <w:t xml:space="preserve">- включен административный список API</w:t>
      </w:r>
      <w:r>
        <w:rPr>
          <w:strike/>
        </w:rPr>
        <w:t xml:space="preserve">записей и brief</w:t>
      </w:r>
      <w:r>
        <w:t xml:space="preserve">формат;</w:t>
      </w:r>
      <w:r>
        <w:t xml:space="preserve"> </w:t>
      </w:r>
      <w:r>
        <w:t xml:space="preserve">- обновлены Help-разделы;</w:t>
      </w:r>
      <w:r>
        <w:t xml:space="preserve"> </w:t>
      </w:r>
      <w:r>
        <w:t xml:space="preserve">- добавлены safe</w:t>
      </w:r>
      <w:r>
        <w:rPr>
          <w:strike/>
        </w:rPr>
        <w:t xml:space="preserve">read TestA</w:t>
      </w:r>
      <w:r>
        <w:t xml:space="preserve">проверки.</w:t>
      </w:r>
    </w:p>
    <w:p>
      <w:pPr>
        <w:pStyle w:val="BodyText"/>
      </w:pPr>
      <w:r>
        <w:t xml:space="preserve">Не входит в этот PR:</w:t>
      </w:r>
      <w:r>
        <w:t xml:space="preserve"> </w:t>
      </w:r>
      <w:r>
        <w:t xml:space="preserve">- runtime mapping/external ids (I128-2831);</w:t>
      </w:r>
      <w:r>
        <w:t xml:space="preserve"> </w:t>
      </w:r>
      <w:r>
        <w:t xml:space="preserve">- bidirectional sync/conflict resolution (I128-2832);</w:t>
      </w:r>
      <w:r>
        <w:t xml:space="preserve"> </w:t>
      </w:r>
      <w:r>
        <w:t xml:space="preserve">- конкретные внешние adapters.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по modules/API;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TestA: API safe</w:t>
      </w:r>
      <w:r>
        <w:rPr>
          <w:strike/>
        </w:rPr>
        <w:t xml:space="preserve">read + structural, 17/17 passed, runid 20260905061722</w:t>
      </w:r>
      <w:r>
        <w:t xml:space="preserve">66d96956.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31"/>
    <w:p>
      <w:pPr>
        <w:pStyle w:val="Heading3"/>
      </w:pPr>
      <w:r>
        <w:t xml:space="preserve">1.1. 🔗 blocks: I128-2831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2"/>
    <w:p>
      <w:pPr>
        <w:pStyle w:val="Heading3"/>
      </w:pPr>
      <w:r>
        <w:t xml:space="preserve">1.2. 🔗 blocks: I128-2832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8"/>
    <w:p>
      <w:pPr>
        <w:pStyle w:val="Heading3"/>
      </w:pPr>
      <w:r>
        <w:t xml:space="preserve">1.9. 🔗 blocks: I128-2818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5"/>
    <w:p>
      <w:pPr>
        <w:pStyle w:val="Heading3"/>
      </w:pPr>
      <w:r>
        <w:t xml:space="preserve">1.10. 🔗 blocks: I128-2825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9"/>
    <w:p>
      <w:pPr>
        <w:pStyle w:val="Heading3"/>
      </w:pPr>
      <w:r>
        <w:t xml:space="preserve">1.11. 🔗 blocks: I128-2829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27" Target="?id=Help/Show&amp;m=Help/GeneralDescription/WhatsNew/I128/TaskInfo/I128-2825/README" TargetMode="External" /><Relationship Type="http://schemas.openxmlformats.org/officeDocument/2006/relationships/hyperlink" Id="rId29" Target="?id=Help/Show&amp;m=Help/GeneralDescription/WhatsNew/I128/TaskInfo/I128-2829/README" TargetMode="External" /><Relationship Type="http://schemas.openxmlformats.org/officeDocument/2006/relationships/hyperlink" Id="rId9" Target="?id=Help/Show&amp;m=Help/GeneralDescription/WhatsNew/I128/TaskInfo/I128-2831/README" TargetMode="External" /><Relationship Type="http://schemas.openxmlformats.org/officeDocument/2006/relationships/hyperlink" Id="rId11" Target="?id=Help/Show&amp;m=Help/GeneralDescription/WhatsNew/I128/TaskInfo/I128-28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27" Target="?id=Help/Show&amp;m=Help/GeneralDescription/WhatsNew/I128/TaskInfo/I128-2825/README" TargetMode="External" /><Relationship Type="http://schemas.openxmlformats.org/officeDocument/2006/relationships/hyperlink" Id="rId29" Target="?id=Help/Show&amp;m=Help/GeneralDescription/WhatsNew/I128/TaskInfo/I128-2829/README" TargetMode="External" /><Relationship Type="http://schemas.openxmlformats.org/officeDocument/2006/relationships/hyperlink" Id="rId9" Target="?id=Help/Show&amp;m=Help/GeneralDescription/WhatsNew/I128/TaskInfo/I128-2831/README" TargetMode="External" /><Relationship Type="http://schemas.openxmlformats.org/officeDocument/2006/relationships/hyperlink" Id="rId11" Target="?id=Help/Show&amp;m=Help/GeneralDescription/WhatsNew/I128/TaskInfo/I128-28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[I128-2830] Реестр API-контрактов и профилей внешней интеграции</dc:title>
  <dc:creator/>
  <cp:keywords/>
  <dcterms:created xsi:type="dcterms:W3CDTF">2026-10-03T13:26:06Z</dcterms:created>
  <dcterms:modified xsi:type="dcterms:W3CDTF">2026-10-03T13:26:06Z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