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Каталожные разделители ИМИДЖ-каталогов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таложные-разделители-имидж-каталогов"/>
    <w:p>
      <w:pPr>
        <w:pStyle w:val="Heading1"/>
      </w:pPr>
      <w:r>
        <w:t xml:space="preserve">Каталожные разделители ИМИДЖ-каталогов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строит и хранит навигационные разделители для ИМИДЖ-каталогов.</w:t>
      </w:r>
    </w:p>
    <w:bookmarkStart w:id="11" w:name="назначение-модуля-imagenav"/>
    <w:p>
      <w:pPr>
        <w:pStyle w:val="Heading2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Каталожные разделители ИМИДЖ-каталогов</dc:title>
  <dc:creator/>
  <cp:keywords/>
  <dcterms:created xsi:type="dcterms:W3CDTF">2026-10-03T09:44:39Z</dcterms:created>
  <dcterms:modified xsi:type="dcterms:W3CDTF">2026-10-03T09:44:39Z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