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&amp;uf(’K… - Раскодировка через справочник (меню)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k---раскодировка-через-справочник-меню"/>
    <w:p>
      <w:pPr>
        <w:pStyle w:val="Heading1"/>
      </w:pPr>
      <w:r>
        <w:t xml:space="preserve">&amp;uf(’K… - Раскодировка через справочник (меню)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Раскодировка через справочник (меню)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K&lt;имя_меню&gt;\&lt;исх_значение&gt;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&lt;разделитель&gt; между &lt;имя_справочника&gt; и &lt;исх_значение&gt; может быть двух видов:</w:t>
      </w:r>
      <w:r>
        <w:t xml:space="preserve"> </w:t>
      </w:r>
      <w:r>
        <w:t xml:space="preserve">*  - раскодировка с учетом регистра,</w:t>
      </w:r>
      <w:r>
        <w:t xml:space="preserve"> </w:t>
      </w:r>
      <w:r>
        <w:t xml:space="preserve">* ! - раскодировка без учета регистра.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&amp;unifor("Kjz.mnu\"v101)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&amp;uf(’K… - Раскодировка через справочник (меню)</dc:title>
  <dc:creator/>
  <cp:keywords/>
  <dcterms:created xsi:type="dcterms:W3CDTF">2026-10-06T04:35:39Z</dcterms:created>
  <dcterms:modified xsi:type="dcterms:W3CDTF">2026-10-06T04:35:39Z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