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локальной модели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настройка-локальной-модели-ai"/>
    <w:p>
      <w:pPr>
        <w:pStyle w:val="Heading1"/>
      </w:pPr>
      <w:r>
        <w:t xml:space="preserve">Настройка локальной модели AI</w:t>
      </w:r>
    </w:p>
    <w:p>
      <w:pPr>
        <w:pStyle w:val="FirstParagraph"/>
      </w:pPr>
      <w:r>
        <w:t xml:space="preserve">Локальная модель в модуле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- это provider/model, которые не требуют передачи данных во внешнее облако. Обычно такой provider работает через OpenAI-compatible HTTP API на том же сервере или в защищенной локальной сети.</w:t>
      </w:r>
    </w:p>
    <w:p>
      <w:pPr>
        <w:pStyle w:val="BodyText"/>
      </w:pPr>
      <w:r>
        <w:t xml:space="preserve">В примерах ниже используются подписи полей так, как они видны в АРМ Администратор. Технические имена вроде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requiredCapabilities</w:t>
      </w:r>
      <w:r>
        <w:t xml:space="preserve"> </w:t>
      </w:r>
      <w:r>
        <w:t xml:space="preserve">показаны только в JSON-примерах диагностики.</w:t>
      </w:r>
    </w:p>
    <w:bookmarkStart w:id="9" w:name="общая-схема"/>
    <w:p>
      <w:pPr>
        <w:pStyle w:val="Heading2"/>
      </w:pPr>
      <w:r>
        <w:t xml:space="preserve">1. Общая схема</w:t>
      </w:r>
    </w:p>
    <w:p>
      <w:pPr>
        <w:pStyle w:val="FirstParagraph"/>
      </w:pPr>
      <w:r>
        <w:t xml:space="preserve">Для локальной модели всегда настраиваются три уровня:</w:t>
      </w:r>
    </w:p>
    <w:p>
      <w:pPr>
        <w:pStyle w:val="Compact"/>
        <w:numPr>
          <w:ilvl w:val="0"/>
          <w:numId w:val="1001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включается локальный контур и задаются лимиты.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создается provider с endpoint локального runtime.</w:t>
      </w:r>
    </w:p>
    <w:p>
      <w:pPr>
        <w:pStyle w:val="Compact"/>
        <w:numPr>
          <w:ilvl w:val="0"/>
          <w:numId w:val="1001"/>
        </w:numPr>
      </w:pPr>
      <w:r>
        <w:t xml:space="preserve">В списке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создается модель с точным ID, который понимает runtime.</w:t>
      </w:r>
    </w:p>
    <w:p>
      <w:pPr>
        <w:pStyle w:val="FirstParagraph"/>
      </w:pPr>
      <w:r>
        <w:t xml:space="preserve">Для закрытого локального контура поле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должно оставаться выключенным. У provider и модели должны быть выключены признаки</w:t>
      </w:r>
      <w:r>
        <w:t xml:space="preserve"> </w:t>
      </w:r>
      <w:r>
        <w:t xml:space="preserve">“Внешний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“Внешняя модель”</w:t>
      </w:r>
      <w:r>
        <w:t xml:space="preserve"> </w:t>
      </w:r>
      <w:r>
        <w:t xml:space="preserve">и включены признаки</w:t>
      </w:r>
      <w:r>
        <w:t xml:space="preserve"> </w:t>
      </w:r>
      <w:r>
        <w:t xml:space="preserve">“Локальный provider”</w:t>
      </w:r>
      <w:r>
        <w:t xml:space="preserve"> </w:t>
      </w:r>
      <w:r>
        <w:t xml:space="preserve">/</w:t>
      </w:r>
      <w:r>
        <w:t xml:space="preserve"> </w:t>
      </w:r>
      <w:r>
        <w:t xml:space="preserve">“Локальная модель”</w:t>
      </w:r>
      <w:r>
        <w:t xml:space="preserve"> </w:t>
      </w:r>
      <w:r>
        <w:t xml:space="preserve">и</w:t>
      </w:r>
      <w:r>
        <w:t xml:space="preserve"> </w:t>
      </w:r>
      <w:r>
        <w:t xml:space="preserve">“Доступен offline”</w:t>
      </w:r>
      <w:r>
        <w:t xml:space="preserve">.</w:t>
      </w:r>
    </w:p>
    <w:bookmarkEnd w:id="9"/>
    <w:bookmarkStart w:id="10" w:name="что-заполнять-в-настройках-ai"/>
    <w:p>
      <w:pPr>
        <w:pStyle w:val="Heading2"/>
      </w:pPr>
      <w:r>
        <w:t xml:space="preserve">2. Что заполнять в настройках AI</w:t>
      </w:r>
    </w:p>
    <w:p>
      <w:pPr>
        <w:pStyle w:val="FirstParagraph"/>
      </w:pPr>
      <w:r>
        <w:t xml:space="preserve">Откройте настройки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 для локального контура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перед пользовательским запуском; для диагностики можно оставить выключенным и использовать флаг</w:t>
            </w:r>
            <w:r>
              <w:t xml:space="preserve"> </w:t>
            </w:r>
            <w:r>
              <w:t xml:space="preserve">“диагностический режим”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t xml:space="preserve">Обычно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Требовать явное подтверждение внешней передачи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t xml:space="preserve">Endpoint локального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Если локальный сценарий создает AI-черновики, перед пользовательским запуском отдельно проверьте поля</w:t>
      </w:r>
      <w:r>
        <w:t xml:space="preserve"> </w:t>
      </w:r>
      <w:r>
        <w:t xml:space="preserve">“Разрешить инструменты изменения данных”</w:t>
      </w:r>
      <w:r>
        <w:t xml:space="preserve">, права на целевую БД и review-процесс.</w:t>
      </w:r>
    </w:p>
    <w:bookmarkEnd w:id="10"/>
    <w:bookmarkStart w:id="11" w:name="что-заполнять-в-поставщики-ai"/>
    <w:p>
      <w:pPr>
        <w:pStyle w:val="Heading2"/>
      </w:pPr>
      <w:r>
        <w:t xml:space="preserve">3. Что заполнять в</w:t>
      </w:r>
      <w:r>
        <w:t xml:space="preserve"> </w:t>
      </w:r>
      <w:r>
        <w:t xml:space="preserve">“Поставщики AI”</w:t>
      </w:r>
    </w:p>
    <w:p>
      <w:pPr>
        <w:pStyle w:val="FirstParagraph"/>
      </w:pPr>
      <w:r>
        <w:t xml:space="preserve">Общие значения для локального OpenAI-compatible provider: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Стабильный ID provider,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URL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Бесплатный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для обычного текстового запроса достаточно включить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Остальные возможности включайте только после отдельной проверки runtime и выбранной модели.</w:t>
      </w:r>
    </w:p>
    <w:p>
      <w:pPr>
        <w:pStyle w:val="BodyText"/>
      </w:pPr>
      <w:r>
        <w:t xml:space="preserve">Endpoint должен указывать на API без раскрытия секретов в URL. Если runtime расположен не на этом же сервере, убедитесь, что он остается во внутреннем защищенном контуре.</w:t>
      </w:r>
    </w:p>
    <w:bookmarkEnd w:id="11"/>
    <w:bookmarkStart w:id="12" w:name="что-заполнять-в-модели-ai"/>
    <w:p>
      <w:pPr>
        <w:pStyle w:val="Heading2"/>
      </w:pPr>
      <w:r>
        <w:t xml:space="preserve">4. Что заполнять в</w:t>
      </w:r>
      <w:r>
        <w:t xml:space="preserve"> </w:t>
      </w:r>
      <w:r>
        <w:t xml:space="preserve">“Модели AI”</w:t>
      </w:r>
    </w:p>
    <w:p>
      <w:pPr>
        <w:pStyle w:val="FirstParagraph"/>
      </w:pPr>
      <w:r>
        <w:t xml:space="preserve">Общие значения для локальной модели: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локального provider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Бесплатная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 модели,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и, если модель стабильно возвращает структурированные ответы,</w:t>
      </w:r>
      <w:r>
        <w:t xml:space="preserve"> </w:t>
      </w:r>
      <w:r>
        <w:t xml:space="preserve">“JSON”</w:t>
      </w:r>
      <w:r>
        <w:t xml:space="preserve">. Если у модели есть собственные требования к RAM, VRAM или GPU, задайте их в группе</w:t>
      </w:r>
      <w:r>
        <w:t xml:space="preserve"> </w:t>
      </w:r>
      <w:r>
        <w:t xml:space="preserve">“Требования к локальному запуску”</w:t>
      </w:r>
      <w:r>
        <w:t xml:space="preserve">; они уточняют требования provider.</w:t>
      </w:r>
    </w:p>
    <w:bookmarkEnd w:id="12"/>
    <w:bookmarkStart w:id="16" w:name="пример-1.-ollama-и-qwen-3-0.6b"/>
    <w:p>
      <w:pPr>
        <w:pStyle w:val="Heading2"/>
      </w:pPr>
      <w:r>
        <w:t xml:space="preserve">5. Пример 1. Ollama и Qwen 3 0.6B</w:t>
      </w:r>
    </w:p>
    <w:p>
      <w:pPr>
        <w:pStyle w:val="FirstParagraph"/>
      </w:pPr>
      <w:r>
        <w:t xml:space="preserve">Этот пример подходит для минимальной локальной проверки на небольшой модели. В Ollama используется tag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bookmarkStart w:id="13" w:name="модуль-ai"/>
    <w:p>
      <w:pPr>
        <w:pStyle w:val="Heading3"/>
      </w:pPr>
      <w:r>
        <w:t xml:space="preserve">5.1. Модуль AI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На время первичной проверки можно выключить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bookmarkEnd w:id="13"/>
    <w:bookmarkStart w:id="14" w:name="поставщики-ai"/>
    <w:p>
      <w:pPr>
        <w:pStyle w:val="Heading3"/>
      </w:pPr>
      <w:r>
        <w:t xml:space="preserve">5.2. Поставщики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В Runtime-параметрах 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4"/>
    <w:bookmarkStart w:id="15" w:name="модели-ai"/>
    <w:p>
      <w:pPr>
        <w:pStyle w:val="Heading3"/>
      </w:pPr>
      <w:r>
        <w:t xml:space="preserve">5.3. Модели AI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Если JSON-ответы на конкретной установке нестабильны, выключите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и не используйте эту модель в сценариях, где нужен структурированный черновик.</w:t>
      </w:r>
    </w:p>
    <w:p>
      <w:pPr>
        <w:pStyle w:val="BodyText"/>
      </w:pPr>
      <w:r>
        <w:t xml:space="preserve">Проверка маршрутизации на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bookmarkEnd w:id="15"/>
    <w:bookmarkEnd w:id="16"/>
    <w:bookmarkStart w:id="17" w:name="Xb15dd1defa6b12b31575ba4b4266365178c7e35"/>
    <w:p>
      <w:pPr>
        <w:pStyle w:val="Heading2"/>
      </w:pPr>
      <w:r>
        <w:t xml:space="preserve">6. Пример 2. Ollama и модель по умолчанию provider</w:t>
      </w:r>
    </w:p>
    <w:p>
      <w:pPr>
        <w:pStyle w:val="FirstParagraph"/>
      </w:pPr>
      <w:r>
        <w:t xml:space="preserve">Если нужно быстро проверить только endpoint Ollama, можно не создавать отдельную запись модели. Тогда маршрутизатор построит техническую модель с ID provider.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</w:tbl>
    <w:p>
      <w:pPr>
        <w:pStyle w:val="BodyText"/>
      </w:pPr>
      <w:r>
        <w:t xml:space="preserve">В этом варианте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будет показывать</w:t>
      </w:r>
      <w:r>
        <w:t xml:space="preserve"> </w:t>
      </w:r>
      <w:r>
        <w:rPr>
          <w:rStyle w:val="VerbatimChar"/>
        </w:rPr>
        <w:t xml:space="preserve">modelId=ollama-local</w:t>
      </w:r>
      <w:r>
        <w:t xml:space="preserve">. Для продуктивной эксплуатации лучше создать явную запись в</w:t>
      </w:r>
      <w:r>
        <w:t xml:space="preserve"> </w:t>
      </w:r>
      <w:r>
        <w:t xml:space="preserve">“Модели AI”</w:t>
      </w:r>
      <w:r>
        <w:t xml:space="preserve">, иначе в диагностике не видно реальный ID модели runtime.</w:t>
      </w:r>
    </w:p>
    <w:bookmarkEnd w:id="17"/>
    <w:bookmarkStart w:id="18" w:name="X9ef0ceaf260ff50efadd99326aa3d540765a5d7"/>
    <w:p>
      <w:pPr>
        <w:pStyle w:val="Heading2"/>
      </w:pPr>
      <w:r>
        <w:t xml:space="preserve">7. Пример 3. Локальный runtime на другом сервере</w:t>
      </w:r>
    </w:p>
    <w:p>
      <w:pPr>
        <w:pStyle w:val="FirstParagraph"/>
      </w:pPr>
      <w:r>
        <w:t xml:space="preserve">Если OpenAI-compatible runtime работает на отдельном внутреннем сервере, настройка отличается только endpoint и названием provider.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Где настроить</w:t>
            </w:r>
          </w:p>
        </w:tc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Настройки AI</w:t>
            </w:r>
          </w:p>
        </w:tc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 protected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http://ai-runtime.local:8080/v1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Поставщики AI</w:t>
            </w:r>
          </w:p>
        </w:tc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Модели AI</w:t>
            </w:r>
          </w:p>
        </w:tc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Фактический ID модели в runtime</w:t>
            </w:r>
          </w:p>
        </w:tc>
      </w:tr>
    </w:tbl>
    <w:p>
      <w:pPr>
        <w:pStyle w:val="BodyText"/>
      </w:pPr>
      <w:r>
        <w:t xml:space="preserve">Такой provider можно считать локальным только если данные остаются внутри контролируемой инфраструктуры. Если runtime находится у внешнего поставщика, это уже внешний provider, и нужна отдельная политика внешней передачи данных.</w:t>
      </w:r>
    </w:p>
    <w:bookmarkEnd w:id="18"/>
    <w:bookmarkStart w:id="19" w:name="общая-проверка"/>
    <w:p>
      <w:pPr>
        <w:pStyle w:val="Heading2"/>
      </w:pPr>
      <w:r>
        <w:t xml:space="preserve">8. Общая проверка</w:t>
      </w:r>
    </w:p>
    <w:p>
      <w:pPr>
        <w:pStyle w:val="FirstParagraph"/>
      </w:pPr>
      <w:r>
        <w:t xml:space="preserve">После настройки: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provider без сетевого вызова.</w:t>
      </w:r>
    </w:p>
    <w:p>
      <w:pPr>
        <w:pStyle w:val="Compact"/>
        <w:numPr>
          <w:ilvl w:val="0"/>
          <w:numId w:val="1002"/>
        </w:numPr>
      </w:pPr>
      <w:r>
        <w:t xml:space="preserve">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policy=offline_only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 нужную политику,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 </w:t>
      </w:r>
      <w:r>
        <w:t xml:space="preserve">и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Отправьте короткий prompt.</w:t>
      </w:r>
    </w:p>
    <w:p>
      <w:pPr>
        <w:pStyle w:val="FirstParagraph"/>
      </w:pPr>
      <w:r>
        <w:t xml:space="preserve">Если модель должна использоваться пользователями без диагностического режима, включите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после успешной проверки.</w:t>
      </w:r>
    </w:p>
    <w:bookmarkEnd w:id="19"/>
    <w:bookmarkStart w:id="20" w:name="связанные-примеры"/>
    <w:p>
      <w:pPr>
        <w:pStyle w:val="Heading2"/>
      </w:pPr>
      <w:r>
        <w:t xml:space="preserve">9. Связанные примеры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?id=Help/Show&amp;m=AI/Help/LocalModelSetup/Ollama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?id=Help/Show&amp;m=AI/Help/LocalModelSetup/OpenAICompatible</w:t>
      </w:r>
    </w:p>
    <w:p>
      <w:pPr>
        <w:pStyle w:val="Compact"/>
        <w:numPr>
          <w:ilvl w:val="0"/>
          <w:numId w:val="1003"/>
        </w:numPr>
      </w:pPr>
      <w:r>
        <w:t xml:space="preserve">?id=Help/Show&amp;m=AI/Help/SetupGuide/index</w:t>
      </w:r>
    </w:p>
    <w:bookmarkEnd w:id="20"/>
    <w:bookmarkStart w:id="30" w:name="пример-настройки-ollama"/>
    <w:p>
      <w:pPr>
        <w:pStyle w:val="Heading2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21" w:name="подготовить-локальный-runtime"/>
    <w:p>
      <w:pPr>
        <w:pStyle w:val="Heading3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21"/>
    <w:bookmarkStart w:id="22" w:name="настроить-модуль-ai"/>
    <w:p>
      <w:pPr>
        <w:pStyle w:val="Heading3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22"/>
    <w:bookmarkStart w:id="23" w:name="создать-или-проверить-provider"/>
    <w:p>
      <w:pPr>
        <w:pStyle w:val="Heading3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4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4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4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23"/>
    <w:bookmarkStart w:id="24" w:name="создать-модель-qwen-3-0.6b"/>
    <w:p>
      <w:pPr>
        <w:pStyle w:val="Heading3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5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5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5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24"/>
    <w:bookmarkStart w:id="25" w:name="проверить-маршрутизацию"/>
    <w:p>
      <w:pPr>
        <w:pStyle w:val="Heading3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25"/>
    <w:bookmarkStart w:id="26" w:name="проверить-реальный-ответ"/>
    <w:p>
      <w:pPr>
        <w:pStyle w:val="Heading3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7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26"/>
    <w:bookmarkStart w:id="27" w:name="если-нужна-другая-qwen-модель"/>
    <w:p>
      <w:pPr>
        <w:pStyle w:val="Heading3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27"/>
    <w:bookmarkStart w:id="28" w:name="типовые-ошибки"/>
    <w:p>
      <w:pPr>
        <w:pStyle w:val="Heading3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28"/>
    <w:bookmarkStart w:id="29" w:name="после-успешной-проверки"/>
    <w:p>
      <w:pPr>
        <w:pStyle w:val="Heading3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29"/>
    <w:bookmarkEnd w:id="30"/>
    <w:bookmarkStart w:id="39" w:name="X3568186580d3e19fd51c07d1e3c968e46fb7706"/>
    <w:p>
      <w:pPr>
        <w:pStyle w:val="Heading2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31" w:name="определить-endpoint-и-model-id"/>
    <w:p>
      <w:pPr>
        <w:pStyle w:val="Heading3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8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31"/>
    <w:bookmarkStart w:id="32" w:name="настроить-provider"/>
    <w:p>
      <w:pPr>
        <w:pStyle w:val="Heading3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32"/>
    <w:bookmarkStart w:id="33" w:name="настроить-модель"/>
    <w:p>
      <w:pPr>
        <w:pStyle w:val="Heading3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33"/>
    <w:bookmarkStart w:id="34" w:name="настроить-ai"/>
    <w:p>
      <w:pPr>
        <w:pStyle w:val="Heading3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9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9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34"/>
    <w:bookmarkStart w:id="35" w:name="проверить-через-diagnostics"/>
    <w:p>
      <w:pPr>
        <w:pStyle w:val="Heading3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35"/>
    <w:bookmarkStart w:id="36" w:name="проверить-реальный-вызов"/>
    <w:p>
      <w:pPr>
        <w:pStyle w:val="Heading3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10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36"/>
    <w:bookmarkStart w:id="37" w:name="проверить-закрытый-контур"/>
    <w:p>
      <w:pPr>
        <w:pStyle w:val="Heading3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1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11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11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37"/>
    <w:bookmarkStart w:id="38" w:name="передача-пользователям"/>
    <w:p>
      <w:pPr>
        <w:pStyle w:val="Heading3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12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12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12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12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локальной модели AI</dc:title>
  <dc:creator/>
  <cp:keywords/>
  <dcterms:created xsi:type="dcterms:W3CDTF">2026-10-09T04:20:01Z</dcterms:created>
  <dcterms:modified xsi:type="dcterms:W3CDTF">2026-10-09T04:20:01Z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