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AI-governance core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i-governance-core"/>
    <w:p>
      <w:pPr>
        <w:pStyle w:val="Heading1"/>
      </w:pPr>
      <w:r>
        <w:t xml:space="preserve">AI-governance core</w:t>
      </w:r>
    </w:p>
    <w:p>
      <w:pPr>
        <w:pStyle w:val="FirstParagraph"/>
      </w:pPr>
      <w:r>
        <w:rPr>
          <w:rStyle w:val="VerbatimChar"/>
        </w:rPr>
        <w:t xml:space="preserve">AI-governance core</w:t>
      </w:r>
      <w:r>
        <w:t xml:space="preserve"> </w:t>
      </w:r>
      <w:r>
        <w:t xml:space="preserve">делает AI-сценарий управляемой операцией, а не произвольным вызовом модели, prompt-шаблона или инструмента.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владеет общим runtime-контрактом: реестр операций, политики запуска, предварительная проверка, объяснимое решение, безопасное предложение результата, audit envelope и диагностические проверки.</w:t>
      </w:r>
    </w:p>
    <w:bookmarkStart w:id="9" w:name="реестр-операций"/>
    <w:p>
      <w:pPr>
        <w:pStyle w:val="Heading2"/>
      </w:pPr>
      <w:r>
        <w:t xml:space="preserve">1. Реестр операций</w:t>
      </w:r>
    </w:p>
    <w:p>
      <w:pPr>
        <w:pStyle w:val="FirstParagraph"/>
      </w:pPr>
      <w:r>
        <w:t xml:space="preserve">Операция описывается как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.</w:t>
      </w:r>
    </w:p>
    <w:p>
      <w:pPr>
        <w:pStyle w:val="BodyText"/>
      </w:pPr>
      <w:r>
        <w:t xml:space="preserve">Обязательные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стабильный ключ операции.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- понятное название и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ownerModule</w:t>
      </w:r>
      <w:r>
        <w:t xml:space="preserve"> </w:t>
      </w:r>
      <w:r>
        <w:t xml:space="preserve">- модуль, которому принадлежит доменная логика.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operationClass</w:t>
      </w:r>
      <w:r>
        <w:t xml:space="preserve"> </w:t>
      </w:r>
      <w:r>
        <w:t xml:space="preserve">- класс операции: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summary</w:t>
      </w:r>
      <w:r>
        <w:t xml:space="preserve">,</w:t>
      </w:r>
      <w:r>
        <w:t xml:space="preserve"> </w:t>
      </w:r>
      <w:r>
        <w:rPr>
          <w:rStyle w:val="VerbatimChar"/>
        </w:rPr>
        <w:t xml:space="preserve">duplicateRanking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suggestion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resultType</w:t>
      </w:r>
      <w:r>
        <w:t xml:space="preserve"> </w:t>
      </w:r>
      <w:r>
        <w:t xml:space="preserve">- тип результата, который вернет доменный сценарий.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policyKey</w:t>
      </w:r>
      <w:r>
        <w:t xml:space="preserve"> </w:t>
      </w:r>
      <w:r>
        <w:t xml:space="preserve">- ссылка на</w:t>
      </w:r>
      <w:r>
        <w:t xml:space="preserve"> </w:t>
      </w:r>
      <w:r>
        <w:rPr>
          <w:rStyle w:val="VerbatimChar"/>
        </w:rPr>
        <w:t xml:space="preserve">AIGovernancePolicy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- права, которые должен подтвердить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featureFlagKey</w:t>
      </w:r>
      <w:r>
        <w:t xml:space="preserve"> </w:t>
      </w:r>
      <w:r>
        <w:t xml:space="preserve">- feature flag, который должен разрешить запуск.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helpRef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ссылки на документацию и приемочные проверки.</w:t>
      </w:r>
    </w:p>
    <w:p>
      <w:pPr>
        <w:pStyle w:val="FirstParagraph"/>
      </w:pPr>
      <w:r>
        <w:t xml:space="preserve">Системные definition-файлы читаются из</w:t>
      </w:r>
      <w:r>
        <w:t xml:space="preserve"> </w:t>
      </w:r>
      <w:r>
        <w:rPr>
          <w:rStyle w:val="VerbatimChar"/>
        </w:rPr>
        <w:t xml:space="preserve">modules/*/Resources/ai-governance/*.json</w:t>
      </w:r>
      <w:r>
        <w:t xml:space="preserve">. Это позволяет доменному модулю поставлять свои операции без изменения кода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Текущий срез содержит диагностическую operation</w:t>
      </w:r>
      <w:r>
        <w:t xml:space="preserve"> </w:t>
      </w:r>
      <w:r>
        <w:rPr>
          <w:rStyle w:val="VerbatimChar"/>
        </w:rPr>
        <w:t xml:space="preserve">ai.governance.selfTest</w:t>
      </w:r>
      <w:r>
        <w:t xml:space="preserve">, которая проверяет контракт без вызова модели.</w:t>
      </w:r>
    </w:p>
    <w:p>
      <w:pPr>
        <w:pStyle w:val="BodyText"/>
      </w:pPr>
      <w:r>
        <w:t xml:space="preserve">Если operation использует prompt-шаблон, она указывает</w:t>
      </w:r>
      <w:r>
        <w:t xml:space="preserve"> </w:t>
      </w:r>
      <w:r>
        <w:rPr>
          <w:rStyle w:val="VerbatimChar"/>
        </w:rPr>
        <w:t xml:space="preserve">promptKey</w:t>
      </w:r>
      <w:r>
        <w:t xml:space="preserve"> </w:t>
      </w:r>
      <w:r>
        <w:t xml:space="preserve">и при необходимости pinned</w:t>
      </w:r>
      <w:r>
        <w:t xml:space="preserve"> </w:t>
      </w:r>
      <w:r>
        <w:rPr>
          <w:rStyle w:val="VerbatimChar"/>
        </w:rPr>
        <w:t xml:space="preserve">promptVersion</w:t>
      </w:r>
      <w:r>
        <w:t xml:space="preserve">. Владельцем prompt-шаблонов, версий, переменных, response format и safe render contract является модуль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подробности описаны в разделе ?id=Help/Show&amp;m=AIPrompt/Help/Registry.</w:t>
      </w:r>
    </w:p>
    <w:bookmarkEnd w:id="9"/>
    <w:bookmarkStart w:id="10" w:name="политики-запуска"/>
    <w:p>
      <w:pPr>
        <w:pStyle w:val="Heading2"/>
      </w:pPr>
      <w:r>
        <w:t xml:space="preserve">2. Политики запуска</w:t>
      </w:r>
    </w:p>
    <w:p>
      <w:pPr>
        <w:pStyle w:val="FirstParagraph"/>
      </w:pPr>
      <w:r>
        <w:rPr>
          <w:rStyle w:val="VerbatimChar"/>
        </w:rPr>
        <w:t xml:space="preserve">AIGovernancePolicy</w:t>
      </w:r>
      <w:r>
        <w:t xml:space="preserve"> </w:t>
      </w:r>
      <w:r>
        <w:t xml:space="preserve">определяет, можно ли запускать операцию в конкретном контексте. Политика проверяет класс операции, required permissions, feature flag, статус публикации, аварийные выключатели</w:t>
      </w:r>
      <w:r>
        <w:t xml:space="preserve"> </w:t>
      </w:r>
      <w:r>
        <w:rPr>
          <w:rStyle w:val="VerbatimChar"/>
        </w:rPr>
        <w:t xml:space="preserve">AI</w:t>
      </w:r>
      <w:r>
        <w:t xml:space="preserve">, dry-run и требование ручного подтверждения.</w:t>
      </w:r>
    </w:p>
    <w:p>
      <w:pPr>
        <w:pStyle w:val="BodyText"/>
      </w:pPr>
      <w:r>
        <w:t xml:space="preserve">Если operation или policy не найдена, feature flag выключен,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запуск или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аварийно выключен, preflight возвращает безопасный отказ до вызова модели, prompt renderer, provider adapter или tool executor.</w:t>
      </w:r>
    </w:p>
    <w:bookmarkEnd w:id="10"/>
    <w:bookmarkStart w:id="11" w:name="preflight"/>
    <w:p>
      <w:pPr>
        <w:pStyle w:val="Heading2"/>
      </w:pPr>
      <w:r>
        <w:t xml:space="preserve">3. Preflight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принимает массив: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workflowProjectKey</w:t>
      </w:r>
      <w:r>
        <w:t xml:space="preserve">, если операция выполняется в проектном контексте;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featureFlags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securityDecision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requiresConfirmation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список причин, диагностические коды, trace id, признаки</w:t>
      </w:r>
      <w:r>
        <w:t xml:space="preserve"> </w:t>
      </w:r>
      <w:r>
        <w:rPr>
          <w:rStyle w:val="VerbatimChar"/>
        </w:rPr>
        <w:t xml:space="preserve">modelCalled=false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domainWritePerformed=false</w:t>
      </w:r>
      <w:r>
        <w:t xml:space="preserve"> </w:t>
      </w:r>
      <w:r>
        <w:t xml:space="preserve">и безопасные signals для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не реализует собственную систему прав и rollout.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 состояние feature flag передаются через общий контракт внешних модулей. Если обязательные права есть, но</w:t>
      </w:r>
      <w:r>
        <w:t xml:space="preserve"> </w:t>
      </w:r>
      <w:r>
        <w:rPr>
          <w:rStyle w:val="VerbatimChar"/>
        </w:rPr>
        <w:t xml:space="preserve">securityDecision</w:t>
      </w:r>
      <w:r>
        <w:t xml:space="preserve"> </w:t>
      </w:r>
      <w:r>
        <w:t xml:space="preserve">не передан, запуск блокируется.</w:t>
      </w:r>
    </w:p>
    <w:bookmarkEnd w:id="11"/>
    <w:bookmarkStart w:id="12" w:name="aisuggestion"/>
    <w:p>
      <w:pPr>
        <w:pStyle w:val="Heading2"/>
      </w:pPr>
      <w:r>
        <w:t xml:space="preserve">4. AISuggestion</w:t>
      </w:r>
    </w:p>
    <w:p>
      <w:pPr>
        <w:pStyle w:val="FirstParagraph"/>
      </w:pPr>
      <w:r>
        <w:rPr>
          <w:rStyle w:val="VerbatimChar"/>
        </w:rPr>
        <w:t xml:space="preserve">AI/BuildSuggestion</w:t>
      </w:r>
      <w:r>
        <w:t xml:space="preserve"> </w:t>
      </w:r>
      <w:r>
        <w:t xml:space="preserve">формирует безопасный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 </w:t>
      </w:r>
      <w:r>
        <w:t xml:space="preserve">по успешному preflight. Предложение не записывает данные в доменную БД и не выполняет workflow-переход.</w:t>
      </w:r>
    </w:p>
    <w:p>
      <w:pPr>
        <w:pStyle w:val="BodyText"/>
      </w:pPr>
      <w:r>
        <w:rPr>
          <w:rStyle w:val="VerbatimChar"/>
        </w:rPr>
        <w:t xml:space="preserve">AISuggestion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ownerModule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sourceObjectRef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resultType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безопасное</w:t>
      </w:r>
      <w:r>
        <w:t xml:space="preserve"> </w:t>
      </w:r>
      <w:r>
        <w:rPr>
          <w:rStyle w:val="VerbatimChar"/>
        </w:rPr>
        <w:t xml:space="preserve">presentation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warnings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confidence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policyDecisionId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auditId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expiresAt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applied=false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canApplyAutomatically=false</w:t>
      </w:r>
      <w:r>
        <w:t xml:space="preserve">.</w:t>
      </w:r>
    </w:p>
    <w:p>
      <w:pPr>
        <w:pStyle w:val="FirstParagraph"/>
      </w:pPr>
      <w:r>
        <w:t xml:space="preserve">Если операция может привести к изменению данных, публикации сообщения, назначению ответственного, workflow-переходу, созданию файла или внешней отправке, результат получает статус</w:t>
      </w:r>
      <w:r>
        <w:t xml:space="preserve"> </w:t>
      </w:r>
      <w:r>
        <w:rPr>
          <w:rStyle w:val="VerbatimChar"/>
        </w:rPr>
        <w:t xml:space="preserve">needsReview</w:t>
      </w:r>
      <w:r>
        <w:t xml:space="preserve"> </w:t>
      </w:r>
      <w:r>
        <w:t xml:space="preserve">и должен применяться только доменным модулем через собственный apply contract.</w:t>
      </w:r>
    </w:p>
    <w:bookmarkEnd w:id="12"/>
    <w:bookmarkStart w:id="13" w:name="audit"/>
    <w:p>
      <w:pPr>
        <w:pStyle w:val="Heading2"/>
      </w:pPr>
      <w:r>
        <w:t xml:space="preserve">5. Audit</w:t>
      </w:r>
    </w:p>
    <w:p>
      <w:pPr>
        <w:pStyle w:val="FirstParagraph"/>
      </w:pPr>
      <w:r>
        <w:rPr>
          <w:rStyle w:val="VerbatimChar"/>
        </w:rPr>
        <w:t xml:space="preserve">AI/CreateGovernanceAuditEnvelope</w:t>
      </w:r>
      <w:r>
        <w:t xml:space="preserve"> </w:t>
      </w:r>
      <w:r>
        <w:t xml:space="preserve">создает безопасный audit envelope. Он фиксирует actor, operation key, owner module, source object, policy decision, feature flag state, required permissions, result status, suggestion id, human decision и trace id.</w:t>
      </w:r>
    </w:p>
    <w:p>
      <w:pPr>
        <w:pStyle w:val="BodyText"/>
      </w:pPr>
      <w:r>
        <w:t xml:space="preserve">Audit envelope не хранит секреты, raw prompt, raw model output, скрытые поля, закрытые вложения и внутренние рассуждения модели. Внешняя запись произвольных audit-событий через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остается запрещенной.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4"/>
        </w:numPr>
      </w:pPr>
      <w:r>
        <w:t xml:space="preserve">наличие policy и operation definitions;</w:t>
      </w:r>
    </w:p>
    <w:p>
      <w:pPr>
        <w:pStyle w:val="Compact"/>
        <w:numPr>
          <w:ilvl w:val="0"/>
          <w:numId w:val="1004"/>
        </w:numPr>
      </w:pPr>
      <w:r>
        <w:t xml:space="preserve">битые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пустые обязательные поля;</w:t>
      </w:r>
    </w:p>
    <w:p>
      <w:pPr>
        <w:pStyle w:val="Compact"/>
        <w:numPr>
          <w:ilvl w:val="0"/>
          <w:numId w:val="1004"/>
        </w:numPr>
      </w:pPr>
      <w:r>
        <w:t xml:space="preserve">missing</w:t>
      </w:r>
      <w:r>
        <w:t xml:space="preserve"> </w:t>
      </w:r>
      <w:r>
        <w:rPr>
          <w:rStyle w:val="VerbatimChar"/>
        </w:rPr>
        <w:t xml:space="preserve">requiredPermissions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missing Help/TestA-ссылки;</w:t>
      </w:r>
    </w:p>
    <w:p>
      <w:pPr>
        <w:pStyle w:val="Compact"/>
        <w:numPr>
          <w:ilvl w:val="0"/>
          <w:numId w:val="1004"/>
        </w:numPr>
      </w:pPr>
      <w:r>
        <w:t xml:space="preserve">side-effect operation без ручного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выключенный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runtime.</w:t>
      </w:r>
    </w:p>
    <w:p>
      <w:pPr>
        <w:pStyle w:val="FirstParagraph"/>
      </w:pPr>
      <w:r>
        <w:t xml:space="preserve">TestA-сценарии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покрывают публикацию схемы, список операций, карточку operation, where-used, успешный preflight, отказ неизвестной operation, отказ по feature flag, отказ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создание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маскирование секретных ключей и диагностику битых definition-файлов.</w:t>
      </w:r>
    </w:p>
    <w:bookmarkEnd w:id="14"/>
    <w:bookmarkStart w:id="15" w:name="границы-модулей"/>
    <w:p>
      <w:pPr>
        <w:pStyle w:val="Heading2"/>
      </w:pPr>
      <w:r>
        <w:t xml:space="preserve">7.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только governance runtime, operation registry, policy decision,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audit envelope и provider-проверками HealthCheck/TestA для этого контракта.</w:t>
      </w:r>
    </w:p>
    <w:p>
      <w:pPr>
        <w:pStyle w:val="BodyText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prompt registry и versioning.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владеет allowlist инструментов и safe execution.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владеют provider/model metadata и routing policy.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 Доменные модули владеют своими AI-операциями, UX и применением подтвержденного результата.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AI-governance core</dc:title>
  <dc:creator/>
  <cp:keywords/>
  <dcterms:created xsi:type="dcterms:W3CDTF">2026-10-07T14:55:32Z</dcterms:created>
  <dcterms:modified xsi:type="dcterms:W3CDTF">2026-10-07T14:55:32Z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