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обращения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жизненный-цикл-обращения"/>
    <w:p>
      <w:pPr>
        <w:pStyle w:val="Heading1"/>
      </w:pPr>
      <w:r>
        <w:t xml:space="preserve">Жизненный цикл обращения</w:t>
      </w:r>
    </w:p>
    <w:bookmarkStart w:id="9" w:name="создание"/>
    <w:p>
      <w:pPr>
        <w:pStyle w:val="Heading2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9"/>
    <w:bookmarkStart w:id="10" w:name="обработка"/>
    <w:p>
      <w:pPr>
        <w:pStyle w:val="Heading2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0"/>
    <w:bookmarkStart w:id="11" w:name="переписка"/>
    <w:p>
      <w:pPr>
        <w:pStyle w:val="Heading2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1"/>
    <w:bookmarkStart w:id="12" w:name="завершение-и-оценка"/>
    <w:p>
      <w:pPr>
        <w:pStyle w:val="Heading2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обращения</dc:title>
  <dc:creator/>
  <cp:keywords/>
  <dcterms:created xsi:type="dcterms:W3CDTF">2026-10-07T21:09:05Z</dcterms:created>
  <dcterms:modified xsi:type="dcterms:W3CDTF">2026-10-07T21:09:05Z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