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25.png" ContentType="image/png"/>
  <Override PartName="/word/media/rId16.png" ContentType="image/png"/>
  <Override PartName="/word/media/rId22.png" ContentType="image/png"/>
  <Override PartName="/word/media/rId19.png" ContentType="image/png"/>
  <Override PartName="/word/media/rId9.png" ContentType="image/png"/>
  <Override PartName="/word/media/rId33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Область читателя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0" w:name="область-читателя"/>
    <w:p>
      <w:pPr>
        <w:pStyle w:val="Heading1"/>
      </w:pPr>
      <w:r>
        <w:t xml:space="preserve">Область читателя</w:t>
      </w:r>
    </w:p>
    <w:p>
      <w:pPr>
        <w:pStyle w:val="FirstParagraph"/>
      </w:pPr>
      <w:r>
        <w:t xml:space="preserve">Область читателя отображает запись текущего читателя и сведения об изданиях, находящихся у него на руках. До выбора читателя большинство команд недоступно.</w:t>
      </w:r>
    </w:p>
    <w:p>
      <w:pPr>
        <w:pStyle w:val="CaptionedFigure"/>
      </w:pPr>
      <w:r>
        <w:drawing>
          <wp:inline>
            <wp:extent cx="5334000" cy="929214"/>
            <wp:effectExtent b="0" l="0" r="0" t="0"/>
            <wp:docPr descr="Рисунок 1 - Область текущего читателя и формуляра" title="Область текущего читателя и формуляра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reader-are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292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Область текущего читателя и формуляра</w:t>
      </w:r>
    </w:p>
    <w:p>
      <w:pPr>
        <w:pStyle w:val="BodyText"/>
      </w:pPr>
      <w:r>
        <w:t xml:space="preserve">В панели «Текущий читатель» доступны действия над выбранным читателем. До выбора читателя большинство кнопок отключено; после выбора записи АРМ включает команды, разрешенные профилем.</w:t>
      </w:r>
    </w:p>
    <w:bookmarkStart w:id="28" w:name="кнопки-панели-текущий-читатель"/>
    <w:p>
      <w:pPr>
        <w:pStyle w:val="Heading2"/>
      </w:pPr>
      <w:r>
        <w:t xml:space="preserve">1. Кнопки панели «Текущий читатель»</w:t>
      </w:r>
    </w:p>
    <w:p>
      <w:pPr>
        <w:pStyle w:val="FirstParagraph"/>
      </w:pPr>
      <w:r>
        <w:t xml:space="preserve">Кнопка «Посещение» фиксирует посещение читателем библиотеки. Источник вида посещения задается профилем: АРМ может использовать справочник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. Подробно этот сценарий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«Учет посещений»</w:t>
        </w:r>
      </w:hyperlink>
      <w:r>
        <w:t xml:space="preserve">.</w:t>
      </w:r>
    </w:p>
    <w:p>
      <w:pPr>
        <w:pStyle w:val="BodyText"/>
      </w:pPr>
      <w:r>
        <w:t xml:space="preserve">Кнопка «Перерегистрация» выполняет перерегистрацию текущего читателя. Отдельное окно не открывается: после успешной операции АРМ показывает сообщение о выполнении и обновляет сведения о читателе.</w:t>
      </w:r>
    </w:p>
    <w:p>
      <w:pPr>
        <w:pStyle w:val="BodyText"/>
      </w:pPr>
      <w:r>
        <w:t xml:space="preserve">Кнопка «Блокировать» открывает форму «Блокировка возможности книговыдачи для читателя». В поле «Причина» указывается причина блокировки. Если очистить поле и подтвердить форму, блокировка снимается. Кнопка «Ок» сохраняет значение, кнопка «Отмена» закрывает форму без изменений.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возможности книговыдачи" title="Окно блокировки возможности книговыдачи" id="1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lock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возможности книговыдачи</w:t>
      </w:r>
    </w:p>
    <w:p>
      <w:pPr>
        <w:pStyle w:val="BodyText"/>
      </w:pPr>
      <w:r>
        <w:t xml:space="preserve">Кнопка «Изменить» открывает редактор текущей записи читателя. В редакторе можно изменить поля записи, сохранить изменения или закрыть окно без сохранения.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3 - Редактор текущей записи читателя" title="Редактор текущей записи читателя" id="17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edit-rdr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Редактор текущей записи читателя</w:t>
      </w:r>
    </w:p>
    <w:p>
      <w:pPr>
        <w:pStyle w:val="BodyText"/>
      </w:pPr>
      <w:r>
        <w:t xml:space="preserve">Кнопка «Новый» открывает редактор новой записи читателя. После сохранения новой записи АРМ делает созданного читателя текущим. Если закрыть редактор без сохранения, новая запись не вводится в работу.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4 - Редактор новой записи читателя" title="Редактор новой записи читателя" id="20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new-rdr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Редактор новой записи читателя</w:t>
      </w:r>
    </w:p>
    <w:p>
      <w:pPr>
        <w:pStyle w:val="BodyText"/>
      </w:pPr>
      <w:r>
        <w:t xml:space="preserve">Кнопка «Завершить» завершает работу с текущим читателем, очищает поля ввода штрих-кодов и переводит фокус в поле выдачи. Отдельное окно не открывается. После очистки текущего читателя АРМ снимает фильтр читателя со списков «Заказы» и «Бронеполка»: они снова показывают записи текущего места выдачи, разрешенные настройками профиля.</w:t>
      </w:r>
    </w:p>
    <w:p>
      <w:pPr>
        <w:pStyle w:val="BodyText"/>
      </w:pPr>
      <w:r>
        <w:t xml:space="preserve">Кнопка «История выдач» открывает окно «История книговыдач читателя». В таблице показываются ранее выданные экземпляры, даты выдачи, предполагаемого возврата и фактического возврата, инвентарный номер, штрих-код, база данных, ответственное лицо и места хранения/выдачи.</w:t>
      </w:r>
    </w:p>
    <w:p>
      <w:pPr>
        <w:pStyle w:val="CaptionedFigure"/>
      </w:pPr>
      <w:r>
        <w:drawing>
          <wp:inline>
            <wp:extent cx="5334000" cy="3111499"/>
            <wp:effectExtent b="0" l="0" r="0" t="0"/>
            <wp:docPr descr="Рисунок 5 - Окно «История книговыдач читателя»" title="Окно «История книговыдач читателя»" id="23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history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114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«История книговыдач читателя»</w:t>
      </w:r>
    </w:p>
    <w:p>
      <w:pPr>
        <w:pStyle w:val="BodyText"/>
      </w:pPr>
      <w:r>
        <w:t xml:space="preserve">Поле «формат просмотра» меняет формат отображения записи читателя в панели «Текущий читатель». После выбора формата карточка читателя перезагружается в выбранном представлении; отдельное окно не открывается.</w:t>
      </w:r>
    </w:p>
    <w:p>
      <w:pPr>
        <w:pStyle w:val="BodyText"/>
      </w:pPr>
      <w:r>
        <w:t xml:space="preserve">В полном формате просмотра читателя АРМ показывает предупреждение об отсутствии перерегистрации, если в текущем году у читателя нет перерегистрации для места выдачи, заданного в профиле книговыдачи. Место выдачи берется из настройки</w:t>
      </w:r>
      <w:r>
        <w:t xml:space="preserve"> </w:t>
      </w:r>
      <w:r>
        <w:rPr>
          <w:rStyle w:val="VerbatimChar"/>
        </w:rPr>
        <w:t xml:space="preserve">MaskMrg</w:t>
      </w:r>
      <w:r>
        <w:t xml:space="preserve">. Предупреждение помогает библиотекарю сразу увидеть, что перед обслуживанием читателя нужно выполнить перерегистрацию для текущего места выдачи.</w:t>
      </w:r>
    </w:p>
    <w:p>
      <w:pPr>
        <w:pStyle w:val="BodyText"/>
      </w:pPr>
      <w:r>
        <w:t xml:space="preserve">Кнопка печати текущей записи читателя открывает печатное представление записи в выбранном формате. Печать выполняется в отдельной странице/окне браузера и не изменяет запись читателя.</w:t>
      </w:r>
    </w:p>
    <w:p>
      <w:pPr>
        <w:pStyle w:val="BodyText"/>
      </w:pPr>
      <w:r>
        <w:t xml:space="preserve">Состав команд зависит от параметров профиля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rdrreregable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rdrblockable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rdreditable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rdrnewable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rdrprintable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booklandedhistoryable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pftselector</w:t>
      </w:r>
      <w:r>
        <w:t xml:space="preserve">.</w:t>
      </w:r>
    </w:p>
    <w:p>
      <w:pPr>
        <w:pStyle w:val="BodyText"/>
      </w:pPr>
      <w:r>
        <w:t xml:space="preserve">В форме «Издания на руках у читателя» отображаются экземпляры текущего читателя. Команды этой формы работают с отмеченными строками таблицы.</w:t>
      </w:r>
    </w:p>
    <w:p>
      <w:pPr>
        <w:pStyle w:val="BodyText"/>
      </w:pPr>
      <w:r>
        <w:t xml:space="preserve">Кнопки формы «Издания на руках у читателя»:</w:t>
      </w:r>
    </w:p>
    <w:p>
      <w:pPr>
        <w:pStyle w:val="Compact"/>
        <w:numPr>
          <w:ilvl w:val="0"/>
          <w:numId w:val="1001"/>
        </w:numPr>
      </w:pPr>
      <w:r>
        <w:t xml:space="preserve">«Продлить» продлевает срок возврата отмеченных экземпляров до даты, выбранной в форме «Настройки». Кнопка активна только для экземпляров, для которых разрешено продление.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01"/>
        </w:numPr>
      </w:pPr>
      <w:r>
        <w:t xml:space="preserve">«Утеряно» оформляет отмеченные экземпляры как утерянные. Перед выполнением операции АРМ показывает подтверждение. При отказе от подтверждения запись не меняется.</w:t>
      </w:r>
    </w:p>
    <w:p>
      <w:pPr>
        <w:pStyle w:val="Compact"/>
        <w:numPr>
          <w:ilvl w:val="0"/>
          <w:numId w:val="1001"/>
        </w:numPr>
      </w:pPr>
      <w:r>
        <w:t xml:space="preserve">«Вернуть» оформляет возврат отмеченных экземпляров. Кнопка активна только для экземпляров, доступных для возврата.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01"/>
        </w:numPr>
      </w:pPr>
      <w:r>
        <w:t xml:space="preserve">«На бронеполку» возвращает отмеченные экземпляры на бронеполку. Если профиль разрешает выбор статуса бронирования, кнопка открывает меню статусов; выбор пункта сразу выполняет возврат на бронеполку с указанным статусом.</w:t>
      </w:r>
    </w:p>
    <w:p>
      <w:pPr>
        <w:pStyle w:val="Compact"/>
        <w:numPr>
          <w:ilvl w:val="0"/>
          <w:numId w:val="1001"/>
        </w:numPr>
      </w:pPr>
      <w:r>
        <w:t xml:space="preserve">«Печать» открывает отдельную страницу печати контрольных талонов по отмеченным экземплярам.</w:t>
      </w:r>
    </w:p>
    <w:p>
      <w:pPr>
        <w:pStyle w:val="CaptionedFigure"/>
      </w:pPr>
      <w:r>
        <w:drawing>
          <wp:inline>
            <wp:extent cx="5334000" cy="1450848"/>
            <wp:effectExtent b="0" l="0" r="0" t="0"/>
            <wp:docPr descr="Рисунок 6 - Меню статусов кнопки «На бронеполку»" title="Меню статусов кнопки «На бронеполку»" id="26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rone-status-menu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08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кнопки «На бронеполку»</w:t>
      </w:r>
    </w:p>
    <w:p>
      <w:pPr>
        <w:pStyle w:val="BodyText"/>
      </w:pPr>
      <w:r>
        <w:t xml:space="preserve">В таблице формуляра показываются штрих-код, инвентарный номер, шифр, описание издания, даты выдачи и предполагаемого возврата, база данных электронного каталога, ответственное лицо, место хранения, место выдачи и пени. Набор видимых колонок задается настройками профиля.</w:t>
      </w:r>
    </w:p>
    <w:bookmarkEnd w:id="28"/>
    <w:bookmarkStart w:id="39" w:name="блокировка-книговыдачи-для-читателя"/>
    <w:p>
      <w:pPr>
        <w:pStyle w:val="Heading2"/>
      </w:pPr>
      <w:r>
        <w:t xml:space="preserve">Блокировка книговыдачи для читателя</w:t>
      </w:r>
    </w:p>
    <w:p>
      <w:pPr>
        <w:pStyle w:val="FirstParagraph"/>
      </w:pPr>
      <w:r>
        <w:t xml:space="preserve">Кнопка «Блокировать» в панели «Текущий читатель» открывает окно управления полем блокировки читателя. Блокировка запрещает книговыдачу выбранному читателю до снятия причины блокировки.</w:t>
      </w:r>
    </w:p>
    <w:p>
      <w:pPr>
        <w:pStyle w:val="CaptionedFigure"/>
      </w:pPr>
      <w:r>
        <w:drawing>
          <wp:inline>
            <wp:extent cx="5334000" cy="266433"/>
            <wp:effectExtent b="0" l="0" r="0" t="0"/>
            <wp:docPr descr="Рисунок 1 - Панель текущего читателя и кнопка «Блокировать»" title="Панель текущего читателя и кнопка «Блокировать»" id="30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panel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текущего читателя и кнопка «Блокировать»</w:t>
      </w:r>
    </w:p>
    <w:bookmarkStart w:id="32" w:name="когда-используется"/>
    <w:p>
      <w:pPr>
        <w:pStyle w:val="Heading3"/>
      </w:pPr>
      <w:r>
        <w:t xml:space="preserve">1. Когда используется</w:t>
      </w:r>
    </w:p>
    <w:p>
      <w:pPr>
        <w:pStyle w:val="FirstParagraph"/>
      </w:pPr>
      <w:r>
        <w:t xml:space="preserve">Блокировку применяют, если читатель временно не должен получать издания. Например, читательский билет утерян, требуется уточнение данных или есть другая причина, принятая в правилах библиотеки.</w:t>
      </w:r>
    </w:p>
    <w:p>
      <w:pPr>
        <w:pStyle w:val="BodyText"/>
      </w:pPr>
      <w:r>
        <w:t xml:space="preserve">Для работы с блокировкой должен быть выбран текущий читатель. Если текущий читатель не указан, действие не сможет изменить запись читателя.</w:t>
      </w:r>
    </w:p>
    <w:bookmarkEnd w:id="32"/>
    <w:bookmarkStart w:id="36" w:name="установка-блокировки"/>
    <w:p>
      <w:pPr>
        <w:pStyle w:val="Heading3"/>
      </w:pPr>
      <w:r>
        <w:t xml:space="preserve">2. Установка блокировки</w:t>
      </w:r>
    </w:p>
    <w:p>
      <w:pPr>
        <w:pStyle w:val="Compact"/>
        <w:numPr>
          <w:ilvl w:val="0"/>
          <w:numId w:val="1002"/>
        </w:numPr>
      </w:pPr>
      <w:r>
        <w:t xml:space="preserve">Найдите или считайте штрих-код читательского билета, чтобы читатель появился в панели «Текущий читатель».</w:t>
      </w:r>
    </w:p>
    <w:p>
      <w:pPr>
        <w:pStyle w:val="Compact"/>
        <w:numPr>
          <w:ilvl w:val="0"/>
          <w:numId w:val="1002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02"/>
        </w:numPr>
      </w:pPr>
      <w:r>
        <w:t xml:space="preserve">В поле «Причина» введите текст причины блокировки.</w:t>
      </w:r>
    </w:p>
    <w:p>
      <w:pPr>
        <w:pStyle w:val="Compact"/>
        <w:numPr>
          <w:ilvl w:val="0"/>
          <w:numId w:val="1002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кнопку «Ок».</w:t>
      </w:r>
    </w:p>
    <w:p>
      <w:pPr>
        <w:pStyle w:val="Compact"/>
        <w:numPr>
          <w:ilvl w:val="0"/>
          <w:numId w:val="1002"/>
        </w:numPr>
      </w:pPr>
      <w:r>
        <w:t xml:space="preserve">Проверьте обновленный статус в панели «Текущий читатель».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с полем «Причина»" title="Окно блокировки с полем «Причина»" id="34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dialog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с полем «Причина»</w:t>
      </w:r>
    </w:p>
    <w:p>
      <w:pPr>
        <w:pStyle w:val="BodyText"/>
      </w:pPr>
      <w:r>
        <w:t xml:space="preserve">При открытии окна курсор автоматически устанавливается в поле «Причина». Если причина уже была указана раньше, текст выделяется целиком. Это позволяет сразу заменить причину новым текстом или удалить ее без дополнительного выделения мышью.</w:t>
      </w:r>
    </w:p>
    <w:p>
      <w:pPr>
        <w:pStyle w:val="BodyText"/>
      </w:pPr>
      <w:r>
        <w:t xml:space="preserve">Клавиша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подтверждает окно так же, как кнопка «Ок». Оператор может выполнить всю операцию с клавиатуры: открыть действие, ввести или заменить причину и нажать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bookmarkEnd w:id="36"/>
    <w:bookmarkStart w:id="37" w:name="снятие-блокировки"/>
    <w:p>
      <w:pPr>
        <w:pStyle w:val="Heading3"/>
      </w:pPr>
      <w:r>
        <w:t xml:space="preserve">3. Снятие блокировки</w:t>
      </w:r>
    </w:p>
    <w:p>
      <w:pPr>
        <w:pStyle w:val="FirstParagraph"/>
      </w:pPr>
      <w:r>
        <w:t xml:space="preserve">Чтобы снять блокировку:</w:t>
      </w:r>
    </w:p>
    <w:p>
      <w:pPr>
        <w:pStyle w:val="Compact"/>
        <w:numPr>
          <w:ilvl w:val="0"/>
          <w:numId w:val="1003"/>
        </w:numPr>
      </w:pPr>
      <w:r>
        <w:t xml:space="preserve">Откройте текущего читателя.</w:t>
      </w:r>
    </w:p>
    <w:p>
      <w:pPr>
        <w:pStyle w:val="Compact"/>
        <w:numPr>
          <w:ilvl w:val="0"/>
          <w:numId w:val="1003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03"/>
        </w:numPr>
      </w:pPr>
      <w:r>
        <w:t xml:space="preserve">Очистите поле «Причина».</w:t>
      </w:r>
    </w:p>
    <w:p>
      <w:pPr>
        <w:pStyle w:val="Compact"/>
        <w:numPr>
          <w:ilvl w:val="0"/>
          <w:numId w:val="1003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«Ок».</w:t>
      </w:r>
    </w:p>
    <w:p>
      <w:pPr>
        <w:pStyle w:val="FirstParagraph"/>
      </w:pPr>
      <w:r>
        <w:t xml:space="preserve">Пустая причина означает снятие блокировки. После подтверждения запись читателя обновляется, и в панели «Текущий читатель» должен отображаться актуальный статус.</w:t>
      </w:r>
    </w:p>
    <w:bookmarkEnd w:id="37"/>
    <w:bookmarkStart w:id="38" w:name="что-обновляется-после-подтверждения"/>
    <w:p>
      <w:pPr>
        <w:pStyle w:val="Heading3"/>
      </w:pPr>
      <w:r>
        <w:t xml:space="preserve">4. Что обновляется после подтверждения</w:t>
      </w:r>
    </w:p>
    <w:p>
      <w:pPr>
        <w:pStyle w:val="FirstParagraph"/>
      </w:pPr>
      <w:r>
        <w:t xml:space="preserve">После успешного подтверждения окно закрывается, а панель «Текущий читатель» перечитывает данные читателя. Оператор сразу видит актуальный признак блокировки и причину. Фокус возвращается в основное поле ввода штрих-кода, поэтому можно продолжать обслуживание без дополнительного щелчка мышью.</w:t>
      </w:r>
    </w:p>
    <w:p>
      <w:pPr>
        <w:pStyle w:val="BodyText"/>
      </w:pPr>
      <w:r>
        <w:t xml:space="preserve">Если сохранение записи не удалось, система показывает сообщение об ошибке и также возвращает фокус в поле ввода штрих-кода.</w:t>
      </w:r>
    </w:p>
    <w:bookmarkEnd w:id="38"/>
    <w:bookmarkEnd w:id="39"/>
    <w:bookmarkEnd w:id="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25" Target="media/rId25.png" /><Relationship Type="http://schemas.openxmlformats.org/officeDocument/2006/relationships/image" Id="rId16" Target="media/rId16.png" /><Relationship Type="http://schemas.openxmlformats.org/officeDocument/2006/relationships/image" Id="rId22" Target="media/rId22.png" /><Relationship Type="http://schemas.openxmlformats.org/officeDocument/2006/relationships/image" Id="rId19" Target="media/rId19.png" /><Relationship Type="http://schemas.openxmlformats.org/officeDocument/2006/relationships/image" Id="rId9" Target="media/rId9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hyperlink" Id="rId12" Target="?id=Help/Show&amp;m=Bookland/Help/Interface/Visi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Bookland/Help/Interface/Visi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Область читателя</dc:title>
  <dc:creator/>
  <cp:keywords/>
  <dcterms:created xsi:type="dcterms:W3CDTF">2026-10-07T18:53:43Z</dcterms:created>
  <dcterms:modified xsi:type="dcterms:W3CDTF">2026-10-07T18:53:43Z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