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записей из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порт-записей-из-файла"/>
    <w:p>
      <w:pPr>
        <w:pStyle w:val="Heading1"/>
      </w:pPr>
      <w:r>
        <w:t xml:space="preserve">Импорт записей из файла</w:t>
      </w:r>
    </w:p>
    <w:p>
      <w:pPr>
        <w:pStyle w:val="FirstParagraph"/>
      </w:pPr>
      <w:r>
        <w:rPr>
          <w:rStyle w:val="VerbatimChar"/>
        </w:rPr>
        <w:t xml:space="preserve">Syncer/ImportFromFile</w:t>
      </w:r>
      <w:r>
        <w:t xml:space="preserve"> </w:t>
      </w:r>
      <w:r>
        <w:t xml:space="preserve">- встроенная функция модуля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для загрузки записей из подготовленного файла в выбранную базу данных. Функция разбирает файл, создает записи, при необходимости применяет FST и сохраняет результат через провайдер базы.</w:t>
      </w:r>
    </w:p>
    <w:p>
      <w:pPr>
        <w:pStyle w:val="BodyText"/>
      </w:pPr>
      <w:r>
        <w:t xml:space="preserve">Используйте этот вариант, когда интеграционный сценарий уже нашел файл во входной папке и может передать функции путь к файлу и параметры разбора. Стандартный импорт из каталога в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использует другой контракт парсера: функция из полей</w:t>
      </w:r>
      <w:r>
        <w:t xml:space="preserve"> </w:t>
      </w:r>
      <w:r>
        <w:rPr>
          <w:rStyle w:val="VerbatimChar"/>
        </w:rPr>
        <w:t xml:space="preserve">inParserModule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inParserFunction</w:t>
      </w:r>
      <w:r>
        <w:t xml:space="preserve"> </w:t>
      </w:r>
      <w:r>
        <w:t xml:space="preserve">получает содержимое файла, а не путь к нему.</w:t>
      </w:r>
    </w:p>
    <w:bookmarkStart w:id="9" w:name="вызов-функции"/>
    <w:p>
      <w:pPr>
        <w:pStyle w:val="Heading2"/>
      </w:pPr>
      <w:r>
        <w:t xml:space="preserve">1. Вызов функции</w:t>
      </w:r>
    </w:p>
    <w:p>
      <w:pPr>
        <w:pStyle w:val="FirstParagraph"/>
      </w:pPr>
      <w:r>
        <w:t xml:space="preserve">Функция вызывается с тремя аргументами: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'Syncer'</w:t>
      </w:r>
      <w:r>
        <w:rPr>
          <w:rStyle w:val="NormalTok"/>
        </w:rPr>
        <w:t xml:space="preserve">)-&gt;ImportFromFile(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'dbName'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'fstName'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'rmarci'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'codePage'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'utf8'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'container'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'iso'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Параметры вызова: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$syncOptionsRecord</w:t>
            </w:r>
          </w:p>
        </w:tc>
        <w:tc>
          <w:tcPr/>
          <w:p>
            <w:pPr>
              <w:pStyle w:val="Compact"/>
            </w:pPr>
            <w:r>
              <w:t xml:space="preserve">запись настроек синхронизации или другой объект контекста, передаваемый вызывающим сценарием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$filePath</w:t>
            </w:r>
          </w:p>
        </w:tc>
        <w:tc>
          <w:tcPr/>
          <w:p>
            <w:pPr>
              <w:pStyle w:val="Compact"/>
            </w:pPr>
            <w:r>
              <w:t xml:space="preserve">путь к файлу, который нужно импортировать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имя БД, в которую будут сохранены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fstName</w:t>
            </w:r>
          </w:p>
        </w:tc>
        <w:tc>
          <w:tcPr/>
          <w:p>
            <w:pPr>
              <w:pStyle w:val="Compact"/>
            </w:pPr>
            <w:r>
              <w:t xml:space="preserve">имя FST, применяемой при подготовке записи; можно оставить пустым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codePage</w:t>
            </w:r>
          </w:p>
        </w:tc>
        <w:tc>
          <w:tcPr/>
          <w:p>
            <w:pPr>
              <w:pStyle w:val="Compact"/>
            </w:pPr>
            <w:r>
              <w:t xml:space="preserve">кодировка входного файла,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windows-1251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cp866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container</w:t>
            </w:r>
          </w:p>
        </w:tc>
        <w:tc>
          <w:tcPr/>
          <w:p>
            <w:pPr>
              <w:pStyle w:val="Compact"/>
            </w:pPr>
            <w:r>
              <w:t xml:space="preserve">тип контейнера:</w:t>
            </w:r>
            <w:r>
              <w:t xml:space="preserve"> </w:t>
            </w:r>
            <w:r>
              <w:rPr>
                <w:rStyle w:val="VerbatimChar"/>
              </w:rPr>
              <w:t xml:space="preserve">iso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csv</w:t>
            </w:r>
          </w:p>
        </w:tc>
      </w:tr>
    </w:tbl>
    <w:p>
      <w:pPr>
        <w:pStyle w:val="BodyText"/>
      </w:pPr>
      <w:r>
        <w:t xml:space="preserve">Результат возвращается массивом с ключом</w:t>
      </w:r>
      <w:r>
        <w:t xml:space="preserve"> </w:t>
      </w:r>
      <w:r>
        <w:rPr>
          <w:rStyle w:val="VerbatimChar"/>
        </w:rPr>
        <w:t xml:space="preserve">errors</w:t>
      </w:r>
      <w:r>
        <w:t xml:space="preserve">. Если файл пустой или не открывается, функция возвращает текст ошибки. Вызывающий сценарий должен проверить этот массив перед удалением или архивированием исходного файла.</w:t>
      </w:r>
    </w:p>
    <w:bookmarkEnd w:id="9"/>
    <w:bookmarkStart w:id="10" w:name="поддерживаемые-контейнеры"/>
    <w:p>
      <w:pPr>
        <w:pStyle w:val="Heading2"/>
      </w:pPr>
      <w:r>
        <w:t xml:space="preserve">2. Поддерживаемые контейнеры</w:t>
      </w:r>
    </w:p>
    <w:p>
      <w:pPr>
        <w:pStyle w:val="FirstParagraph"/>
      </w:pPr>
      <w:r>
        <w:rPr>
          <w:rStyle w:val="VerbatimChar"/>
        </w:rPr>
        <w:t xml:space="preserve">iso</w:t>
      </w:r>
      <w:r>
        <w:t xml:space="preserve"> </w:t>
      </w:r>
      <w:r>
        <w:t xml:space="preserve">- файл в ISO/MARC-представлении. Функция читает длину записи из первых пяти байтов, передает запись в</w:t>
      </w:r>
      <w:r>
        <w:t xml:space="preserve"> </w:t>
      </w:r>
      <w:r>
        <w:rPr>
          <w:rStyle w:val="VerbatimChar"/>
        </w:rPr>
        <w:t xml:space="preserve">SetFromMarc()</w:t>
      </w:r>
      <w:r>
        <w:t xml:space="preserve"> </w:t>
      </w:r>
      <w:r>
        <w:t xml:space="preserve">с заданной кодировкой и FST, затем сохраняет подготовленную запись.</w:t>
      </w:r>
    </w:p>
    <w:p>
      <w:pPr>
        <w:pStyle w:val="BodyText"/>
      </w:pPr>
      <w:r>
        <w:rPr>
          <w:rStyle w:val="VerbatimChar"/>
        </w:rPr>
        <w:t xml:space="preserve">text</w:t>
      </w:r>
      <w:r>
        <w:t xml:space="preserve"> </w:t>
      </w:r>
      <w:r>
        <w:t xml:space="preserve">- текстовый экспорт ИРБИС. Записи разделяются строкой</w:t>
      </w:r>
      <w:r>
        <w:t xml:space="preserve"> </w:t>
      </w:r>
      <w:r>
        <w:rPr>
          <w:rStyle w:val="VerbatimChar"/>
        </w:rPr>
        <w:t xml:space="preserve">*****</w:t>
      </w:r>
      <w:r>
        <w:t xml:space="preserve">, разбираются через</w:t>
      </w:r>
      <w:r>
        <w:t xml:space="preserve"> </w:t>
      </w:r>
      <w:r>
        <w:rPr>
          <w:rStyle w:val="VerbatimChar"/>
        </w:rPr>
        <w:t xml:space="preserve">ParseIrbisTxtExpRec()</w:t>
      </w:r>
      <w:r>
        <w:t xml:space="preserve">, затем при заполненном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 </w:t>
      </w:r>
      <w:r>
        <w:t xml:space="preserve">дополнительно обрабатываются через FST.</w:t>
      </w:r>
    </w:p>
    <w:p>
      <w:pPr>
        <w:pStyle w:val="BodyText"/>
      </w:pPr>
      <w:r>
        <w:rPr>
          <w:rStyle w:val="VerbatimChar"/>
        </w:rPr>
        <w:t xml:space="preserve">xml</w:t>
      </w:r>
      <w:r>
        <w:t xml:space="preserve"> </w:t>
      </w:r>
      <w:r>
        <w:t xml:space="preserve">- XML-файл со списком записей. Внутри записи ожидаются элементы</w:t>
      </w:r>
      <w:r>
        <w:t xml:space="preserve"> </w:t>
      </w:r>
      <w:r>
        <w:rPr>
          <w:rStyle w:val="VerbatimChar"/>
        </w:rPr>
        <w:t xml:space="preserve">FIELD.&lt;tag&gt;</w:t>
      </w:r>
      <w:r>
        <w:t xml:space="preserve">; подполя читаются из вложенных элементов</w:t>
      </w:r>
      <w:r>
        <w:t xml:space="preserve"> </w:t>
      </w:r>
      <w:r>
        <w:rPr>
          <w:rStyle w:val="VerbatimChar"/>
        </w:rPr>
        <w:t xml:space="preserve">SUBFIELD.&lt;code&gt;</w:t>
      </w:r>
      <w:r>
        <w:t xml:space="preserve">. Простое значение поля записывается как основное значение без подполей.</w:t>
      </w:r>
    </w:p>
    <w:p>
      <w:pPr>
        <w:pStyle w:val="BodyText"/>
      </w:pPr>
      <w:r>
        <w:rPr>
          <w:rStyle w:val="VerbatimChar"/>
        </w:rPr>
        <w:t xml:space="preserve">json</w:t>
      </w:r>
      <w:r>
        <w:t xml:space="preserve"> </w:t>
      </w:r>
      <w:r>
        <w:t xml:space="preserve">- JSON-массив записей. Каждый элемент массива передается в</w:t>
      </w:r>
      <w:r>
        <w:t xml:space="preserve"> </w:t>
      </w:r>
      <w:r>
        <w:rPr>
          <w:rStyle w:val="VerbatimChar"/>
        </w:rPr>
        <w:t xml:space="preserve">SetContentA()</w:t>
      </w:r>
      <w:r>
        <w:t xml:space="preserve"> </w:t>
      </w:r>
      <w:r>
        <w:t xml:space="preserve">как готовое массивное представление записи.</w:t>
      </w:r>
    </w:p>
    <w:p>
      <w:pPr>
        <w:pStyle w:val="BodyText"/>
      </w:pPr>
      <w:r>
        <w:rPr>
          <w:rStyle w:val="VerbatimChar"/>
        </w:rPr>
        <w:t xml:space="preserve">csv</w:t>
      </w:r>
      <w:r>
        <w:t xml:space="preserve"> </w:t>
      </w:r>
      <w:r>
        <w:t xml:space="preserve">- текстовый файл, где каждая строка является отдельной записью, а значения разделены точкой с запятой. Значения строки записываются в поля с номерами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2</w:t>
      </w:r>
      <w:r>
        <w:t xml:space="preserve">,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 далее по порядку.</w:t>
      </w:r>
    </w:p>
    <w:bookmarkEnd w:id="10"/>
    <w:bookmarkStart w:id="11" w:name="настройка-загрузки"/>
    <w:p>
      <w:pPr>
        <w:pStyle w:val="Heading2"/>
      </w:pPr>
      <w:r>
        <w:t xml:space="preserve">3. Настройка загрузки</w:t>
      </w:r>
    </w:p>
    <w:p>
      <w:pPr>
        <w:pStyle w:val="FirstParagraph"/>
      </w:pPr>
      <w:r>
        <w:t xml:space="preserve">Перед запуском проверьте:</w:t>
      </w:r>
    </w:p>
    <w:p>
      <w:pPr>
        <w:pStyle w:val="Compact"/>
        <w:numPr>
          <w:ilvl w:val="0"/>
          <w:numId w:val="1001"/>
        </w:numPr>
      </w:pPr>
      <w:r>
        <w:t xml:space="preserve">целевая БД из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 </w:t>
      </w:r>
      <w:r>
        <w:t xml:space="preserve">существует и доступна для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codePage</w:t>
      </w:r>
      <w:r>
        <w:t xml:space="preserve"> </w:t>
      </w:r>
      <w:r>
        <w:t xml:space="preserve">соответствует фактической кодировке 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fstName</w:t>
      </w:r>
      <w:r>
        <w:t xml:space="preserve"> </w:t>
      </w:r>
      <w:r>
        <w:t xml:space="preserve">указывает на FST целевой БД, если записи нужно преобразовать перед сохранением;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container</w:t>
      </w:r>
      <w:r>
        <w:t xml:space="preserve"> </w:t>
      </w:r>
      <w:r>
        <w:t xml:space="preserve">соответствует реальному формату файла;</w:t>
      </w:r>
    </w:p>
    <w:p>
      <w:pPr>
        <w:pStyle w:val="Compact"/>
        <w:numPr>
          <w:ilvl w:val="0"/>
          <w:numId w:val="1001"/>
        </w:numPr>
      </w:pPr>
      <w:r>
        <w:t xml:space="preserve">входная папка, архивирование и удаление обработанных файлов настроены во внешнем сценарии, который вызывает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.</w:t>
      </w:r>
    </w:p>
    <w:p>
      <w:pPr>
        <w:pStyle w:val="FirstParagraph"/>
      </w:pPr>
      <w:r>
        <w:t xml:space="preserve">Операция может массово создавать или изменять записи. Перед подключением регулярного запуска проверьте импорт на тестовом файле и убедитесь, что FST формирует нужные поля целевой базы.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записей из файла</dc:title>
  <dc:creator/>
  <cp:keywords/>
  <dcterms:created xsi:type="dcterms:W3CDTF">2026-10-07T14:13:48Z</dcterms:created>
  <dcterms:modified xsi:type="dcterms:W3CDTF">2026-10-07T14:13:48Z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