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RAVR(формат)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avrформат"/>
    <w:p>
      <w:pPr>
        <w:pStyle w:val="Heading1"/>
      </w:pPr>
      <w:r>
        <w:t xml:space="preserve">Функция RAVR(формат)</w:t>
      </w:r>
    </w:p>
    <w:p>
      <w:pPr>
        <w:pStyle w:val="FirstParagraph"/>
      </w:pPr>
      <w:r>
        <w:t xml:space="preserve">Функция RAVR возвращает среднее арифметическое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Вычисленное среднее значение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необходимо предусмотреть, чтобы такое разделение в формате присутствовало. Функция RAVR может использоваться для вычисления среднего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(v1|;|)</w:t>
            </w:r>
          </w:p>
        </w:tc>
        <w:tc>
          <w:tcPr/>
          <w:p>
            <w:pPr>
              <w:pStyle w:val="Compact"/>
            </w:pPr>
            <w:r>
              <w:t xml:space="preserve">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25.25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RAVR(формат)</dc:title>
  <dc:creator/>
  <cp:keywords/>
  <dcterms:created xsi:type="dcterms:W3CDTF">2026-10-04T04:51:03Z</dcterms:created>
  <dcterms:modified xsi:type="dcterms:W3CDTF">2026-10-04T04:51:03Z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