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I128FMail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значение-модуля-i128fmail"/>
    <w:p>
      <w:pPr>
        <w:pStyle w:val="Heading1"/>
      </w:pPr>
      <w:r>
        <w:t xml:space="preserve">Назначение модуля I128FMail</w:t>
      </w:r>
    </w:p>
    <w:p>
      <w:pPr>
        <w:pStyle w:val="FirstParagraph"/>
      </w:pPr>
      <w:r>
        <w:rPr>
          <w:rStyle w:val="VerbatimChar"/>
        </w:rPr>
        <w:t xml:space="preserve">I128FMail</w:t>
      </w:r>
      <w:r>
        <w:t xml:space="preserve"> </w:t>
      </w:r>
      <w:r>
        <w:t xml:space="preserve">используется для отправки уведомлений от имени системы и как владелец контракта входящего почтового канала. Настройки исходящей отправки хранят адрес отправителя, имя отправителя, параметры SMTP и параметры HTTP-шлюза.</w:t>
      </w:r>
    </w:p>
    <w:bookmarkStart w:id="11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основного почтового ящика системы;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SMTP;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внешний HTTP-шлюз;</w:t>
      </w:r>
    </w:p>
    <w:p>
      <w:pPr>
        <w:pStyle w:val="Compact"/>
        <w:numPr>
          <w:ilvl w:val="0"/>
          <w:numId w:val="1001"/>
        </w:numPr>
      </w:pPr>
      <w:r>
        <w:t xml:space="preserve">постановка отправки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с вложениями.</w:t>
      </w:r>
    </w:p>
    <w:p>
      <w:pPr>
        <w:pStyle w:val="Compact"/>
        <w:numPr>
          <w:ilvl w:val="0"/>
          <w:numId w:val="1001"/>
        </w:numPr>
      </w:pPr>
      <w:r>
        <w:t xml:space="preserve">описание mailbox profile для входящих писем;</w:t>
      </w:r>
    </w:p>
    <w:p>
      <w:pPr>
        <w:pStyle w:val="Compact"/>
        <w:numPr>
          <w:ilvl w:val="0"/>
          <w:numId w:val="1001"/>
        </w:numPr>
      </w:pPr>
      <w:r>
        <w:t xml:space="preserve">нормализация входящего письма в безопасный envelope для owner-модуля.</w:t>
      </w:r>
    </w:p>
    <w:p>
      <w:pPr>
        <w:pStyle w:val="FirstParagraph"/>
      </w:pPr>
      <w:r>
        <w:t xml:space="preserve">Формат списка вложений и точки вызова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API отправки писем</w:t>
        </w:r>
      </w:hyperlink>
      <w:r>
        <w:t xml:space="preserve">.</w:t>
      </w:r>
      <w:r>
        <w:t xml:space="preserve"> </w:t>
      </w:r>
      <w:r>
        <w:t xml:space="preserve">Входящий канал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Входящая почта и mailbox profiles</w:t>
        </w:r>
      </w:hyperlink>
      <w:r>
        <w:t xml:space="preserve">.</w:t>
      </w:r>
    </w:p>
    <w:bookmarkEnd w:id="11"/>
    <w:bookmarkStart w:id="12" w:name="выбор-ящика"/>
    <w:p>
      <w:pPr>
        <w:pStyle w:val="Heading2"/>
      </w:pPr>
      <w:r>
        <w:t xml:space="preserve">2. Выбор ящика</w:t>
      </w:r>
    </w:p>
    <w:p>
      <w:pPr>
        <w:pStyle w:val="FirstParagraph"/>
      </w:pPr>
      <w:r>
        <w:rPr>
          <w:rStyle w:val="VerbatimChar"/>
        </w:rPr>
        <w:t xml:space="preserve">GetMailbox</w:t>
      </w:r>
      <w:r>
        <w:t xml:space="preserve"> </w:t>
      </w:r>
      <w:r>
        <w:t xml:space="preserve">сначала пытается найти ящик, связанный с административной переменной указанного модуля. Если связь не найдена, используется основной ящик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.</w:t>
      </w:r>
    </w:p>
    <w:bookmarkEnd w:id="12"/>
    <w:bookmarkStart w:id="13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Работа исходящей отправки зависит от корректности SMTP/HTTP-настроек, доступности внешнего сервера и настроек очереди. Для новых входящих профилей секреты подключения должны задаваться ссылками на секреты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не открытым текстом в профиле.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I128FMail</dc:title>
  <dc:creator/>
  <cp:keywords/>
  <dcterms:created xsi:type="dcterms:W3CDTF">2026-10-04T16:14:33Z</dcterms:created>
  <dcterms:modified xsi:type="dcterms:W3CDTF">2026-10-04T16:14:33Z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