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9.png" ContentType="image/png"/>
  <Override PartName="/word/media/rId29.png" ContentType="image/png"/>
  <Override PartName="/word/media/rId3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Авторизация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5" w:name="авторизация-пользователей"/>
    <w:p>
      <w:pPr>
        <w:pStyle w:val="Heading1"/>
      </w:pPr>
      <w:r>
        <w:t xml:space="preserve">Авторизация пользователей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отвечает за вход пользователей в систему, восстановление текущей сессии и применение учётной записи пользователя к контексту работы.</w:t>
      </w:r>
    </w:p>
    <w:p>
      <w:pPr>
        <w:pStyle w:val="BodyText"/>
      </w:pPr>
      <w:r>
        <w:t xml:space="preserve">Основная база пользователей берётся из общих настроек системы, обычно это база читателей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Start w:id="13" w:name="назначение-и-основные-характеристики"/>
    <w:p>
      <w:pPr>
        <w:pStyle w:val="Heading2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Модуль авторизации пользователей использует в качестве базы пользователей основную пользовательскую базу, указанную в основных настройках системы АРМ «Администратор».</w:t>
      </w:r>
    </w:p>
    <w:p>
      <w:pPr>
        <w:pStyle w:val="BodyText"/>
      </w:pPr>
      <w:r>
        <w:t xml:space="preserve">При входе модуль ищет запись пользователя, проверяет выбранный способ аутентификации и при успешном входе устанавливает сессионный контекст пользователя. Для записи события входа используется протокол доступа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bookmarkStart w:id="10" w:name="способы-входа"/>
    <w:p>
      <w:pPr>
        <w:pStyle w:val="Heading3"/>
      </w:pPr>
      <w:r>
        <w:t xml:space="preserve">1. Способы входа</w:t>
      </w:r>
    </w:p>
    <w:p>
      <w:pPr>
        <w:pStyle w:val="FirstParagraph"/>
      </w:pPr>
      <w:r>
        <w:t xml:space="preserve">Текущий порядок проверки входа задаётся кодом</w:t>
      </w:r>
      <w:r>
        <w:t xml:space="preserve"> </w:t>
      </w:r>
      <w:r>
        <w:rPr>
          <w:rStyle w:val="VerbatimChar"/>
        </w:rPr>
        <w:t xml:space="preserve">Authorisation/LoginFunc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Прозрачная авторизация через сохранённый контекст или подписанную внешнюю ссылку. См. раздел</w:t>
      </w:r>
      <w:r>
        <w:t xml:space="preserve"> </w:t>
      </w:r>
      <w:hyperlink r:id="rId9">
        <w:r>
          <w:rPr>
            <w:rStyle w:val="Hyperlink"/>
          </w:rPr>
          <w:t xml:space="preserve">Прозрачная авторизация из внешних систем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Учётные данные ИРБИС 128, если включён параметр</w:t>
      </w:r>
      <w:r>
        <w:t xml:space="preserve"> </w:t>
      </w:r>
      <w:r>
        <w:rPr>
          <w:rStyle w:val="VerbatimChar"/>
        </w:rPr>
        <w:t xml:space="preserve">AllowIrbis128Login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Одноразовый пароль, если включён параметр</w:t>
      </w:r>
      <w:r>
        <w:t xml:space="preserve"> </w:t>
      </w:r>
      <w:r>
        <w:rPr>
          <w:rStyle w:val="VerbatimChar"/>
        </w:rPr>
        <w:t xml:space="preserve">AllowOUPLogin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Учётные данные Web-ИРБИС, если включён параметр</w:t>
      </w:r>
      <w:r>
        <w:t xml:space="preserve"> </w:t>
      </w:r>
      <w:r>
        <w:rPr>
          <w:rStyle w:val="VerbatimChar"/>
        </w:rPr>
        <w:t xml:space="preserve">AllowWebIrbisLogin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LDAP/Active Directory, если включён параметр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ВКонтакте, если включён параметр</w:t>
      </w:r>
      <w:r>
        <w:t xml:space="preserve"> </w:t>
      </w:r>
      <w:r>
        <w:rPr>
          <w:rStyle w:val="VerbatimChar"/>
        </w:rPr>
        <w:t xml:space="preserve">vkAllow</w:t>
      </w:r>
      <w:r>
        <w:t xml:space="preserve">.</w:t>
      </w:r>
    </w:p>
    <w:p>
      <w:pPr>
        <w:pStyle w:val="FirstParagraph"/>
      </w:pPr>
      <w:r>
        <w:t xml:space="preserve">Вход через ЕСИА запускается отдельным переходом на action</w:t>
      </w:r>
      <w:r>
        <w:t xml:space="preserve"> </w:t>
      </w:r>
      <w:r>
        <w:rPr>
          <w:rStyle w:val="VerbatimChar"/>
        </w:rPr>
        <w:t xml:space="preserve">Authorisation/AuthESIAInput</w:t>
      </w:r>
      <w:r>
        <w:t xml:space="preserve">: пользователь подтверждает вход на портале ЕСИА, после чего модуль возвращается в</w:t>
      </w:r>
      <w:r>
        <w:t xml:space="preserve"> </w:t>
      </w:r>
      <w:r>
        <w:rPr>
          <w:rStyle w:val="VerbatimChar"/>
        </w:rPr>
        <w:t xml:space="preserve">Authorisation/AuthESIA</w:t>
      </w:r>
      <w:r>
        <w:t xml:space="preserve">, сопоставляет или создаёт запись читателя и выполняет обычный вход по выбранному типу учётных данных.</w:t>
      </w:r>
    </w:p>
    <w:p>
      <w:pPr>
        <w:pStyle w:val="BodyText"/>
      </w:pPr>
      <w:r>
        <w:t xml:space="preserve">Если пользователь найден и успешно проверен, модуль обновляет служебные данные входа в записи пользователя, устанавливает cookies последнего входа и загружает контекст АРМ.</w:t>
      </w:r>
    </w:p>
    <w:bookmarkEnd w:id="10"/>
    <w:bookmarkStart w:id="11" w:name="X98b93d6b4cbe105870d0b7c39400e50c8bbd7f4"/>
    <w:p>
      <w:pPr>
        <w:pStyle w:val="Heading3"/>
      </w:pPr>
      <w:r>
        <w:t xml:space="preserve">2. Прозрачная авторизация из внешней системы</w:t>
      </w:r>
    </w:p>
    <w:p>
      <w:pPr>
        <w:pStyle w:val="FirstParagraph"/>
      </w:pPr>
      <w:r>
        <w:t xml:space="preserve">Для внешних ссылок можно передать подписанные параметры прозрачной авторизации:</w:t>
      </w:r>
    </w:p>
    <w:p>
      <w:pPr>
        <w:pStyle w:val="BodyText"/>
      </w:pPr>
      <w:r>
        <w:t xml:space="preserve">Таблица 1. Параметры прозрачной авторизации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</w:t>
            </w:r>
          </w:p>
        </w:tc>
        <w:tc>
          <w:tcPr/>
          <w:p>
            <w:pPr>
              <w:pStyle w:val="Compact"/>
            </w:pPr>
            <w:r>
              <w:t xml:space="preserve">Логин или значение поискового ключа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I128FAuthPass</w:t>
            </w:r>
          </w:p>
        </w:tc>
        <w:tc>
          <w:tcPr/>
          <w:p>
            <w:pPr>
              <w:pStyle w:val="Compact"/>
            </w:pPr>
            <w:r>
              <w:t xml:space="preserve">Подпись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I128FAuthKeyName</w:t>
            </w:r>
          </w:p>
        </w:tc>
        <w:tc>
          <w:tcPr/>
          <w:p>
            <w:pPr>
              <w:pStyle w:val="Compact"/>
            </w:pPr>
            <w:r>
              <w:t xml:space="preserve">Мнемоника ключа из настройки</w:t>
            </w:r>
            <w:r>
              <w:t xml:space="preserve"> </w:t>
            </w:r>
            <w:r>
              <w:rPr>
                <w:rStyle w:val="VerbatimChar"/>
              </w:rPr>
              <w:t xml:space="preserve">transparentAuthKeys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I128FAuthTime</w:t>
            </w:r>
          </w:p>
        </w:tc>
        <w:tc>
          <w:tcPr/>
          <w:p>
            <w:pPr>
              <w:pStyle w:val="Compact"/>
            </w:pPr>
            <w:r>
              <w:t xml:space="preserve">Unix time, для которого рассчитана подпись.</w:t>
            </w:r>
          </w:p>
        </w:tc>
      </w:tr>
    </w:tbl>
    <w:p>
      <w:pPr>
        <w:pStyle w:val="BodyText"/>
      </w:pPr>
      <w:r>
        <w:t xml:space="preserve">Подпись рассчитывается как</w:t>
      </w:r>
      <w:r>
        <w:t xml:space="preserve"> </w:t>
      </w:r>
      <w:r>
        <w:rPr>
          <w:rStyle w:val="VerbatimChar"/>
        </w:rPr>
        <w:t xml:space="preserve">md5($login . md5($keyValue) . $unix_time)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$keyValue</w:t>
      </w:r>
      <w:r>
        <w:t xml:space="preserve"> </w:t>
      </w:r>
      <w:r>
        <w:t xml:space="preserve">- секретное значение ключа из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. Срок действия ссылки задается в той же настройке; если время запроса вышло за допустимый интервал, вход отклоняется.</w:t>
      </w:r>
    </w:p>
    <w:bookmarkEnd w:id="11"/>
    <w:bookmarkStart w:id="12" w:name="связанные-настройки"/>
    <w:p>
      <w:pPr>
        <w:pStyle w:val="Heading3"/>
      </w:pPr>
      <w:r>
        <w:t xml:space="preserve">3. Связанные настройки</w:t>
      </w:r>
    </w:p>
    <w:p>
      <w:pPr>
        <w:pStyle w:val="FirstParagraph"/>
      </w:pPr>
      <w:r>
        <w:t xml:space="preserve">Основные параметры модуля доступны в настройках модулей системы АРМ «Администратор». Для внешних способов входа используйте отдельные разделы настроек LDAP, ВКонтакте, одноразовых паролей, ЕСИА и прозрачной авторизации.</w:t>
      </w:r>
    </w:p>
    <w:p>
      <w:pPr>
        <w:pStyle w:val="BodyText"/>
      </w:pPr>
      <w:r>
        <w:t xml:space="preserve">Права доступа пользователя описываются в общей модели безопасности системы. См. также</w:t>
      </w:r>
      <w:r>
        <w:t xml:space="preserve"> </w:t>
      </w:r>
      <w:r>
        <w:rPr>
          <w:rStyle w:val="VerbatimChar"/>
        </w:rPr>
        <w:t xml:space="preserve">{&amp;link Admin/AccessRights}</w:t>
      </w:r>
      <w:r>
        <w:t xml:space="preserve">.</w:t>
      </w:r>
    </w:p>
    <w:bookmarkEnd w:id="12"/>
    <w:bookmarkEnd w:id="13"/>
    <w:bookmarkStart w:id="18" w:name="прозрачная-авторизация-из-внешних-систем"/>
    <w:p>
      <w:pPr>
        <w:pStyle w:val="Heading2"/>
      </w:pPr>
      <w:r>
        <w:t xml:space="preserve">Прозрачная авторизация из внешних систем</w:t>
      </w:r>
    </w:p>
    <w:p>
      <w:pPr>
        <w:pStyle w:val="FirstParagraph"/>
      </w:pPr>
      <w:r>
        <w:t xml:space="preserve">Прозрачная авторизация позволяет внешней системе открыть защищенную страницу ИРБИС 128 по ссылке без ручного ввода пароля пользователем. В ссылку передаются логин, имя ключа, время формирования ссылки и подпись, рассчитанная по секретному ключу.</w:t>
      </w:r>
    </w:p>
    <w:p>
      <w:pPr>
        <w:pStyle w:val="BodyText"/>
      </w:pPr>
      <w:r>
        <w:t xml:space="preserve">Такой вход проходит через общий механизм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: после успешной проверки подписи система находит запись пользователя в базе пользователей, устанавливает обычный сессионный контекст и загружает контекст АРМ.</w:t>
      </w:r>
    </w:p>
    <w:bookmarkStart w:id="14" w:name="настройка-ключей"/>
    <w:p>
      <w:pPr>
        <w:pStyle w:val="Heading3"/>
      </w:pPr>
      <w:r>
        <w:t xml:space="preserve">1. Настройка ключей</w:t>
      </w:r>
    </w:p>
    <w:p>
      <w:pPr>
        <w:pStyle w:val="FirstParagraph"/>
      </w:pPr>
      <w:r>
        <w:t xml:space="preserve">Ключи проверяются модулем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 В настройках модуля используется список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 </w:t>
      </w:r>
      <w:r>
        <w:t xml:space="preserve">-</w:t>
      </w:r>
      <w:r>
        <w:t xml:space="preserve"> </w:t>
      </w:r>
      <w:r>
        <w:rPr>
          <w:b/>
          <w:bCs/>
        </w:rPr>
        <w:t xml:space="preserve">Настройка прозрачной авторизации из внешних систем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ключа</w:t>
            </w:r>
          </w:p>
        </w:tc>
        <w:tc>
          <w:tcPr/>
          <w:p>
            <w:pPr>
              <w:pStyle w:val="Compact"/>
            </w:pPr>
            <w:r>
              <w:t xml:space="preserve">Человекочитаемое название записи ключа.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Мнемоническое имя ключа</w:t>
            </w:r>
          </w:p>
        </w:tc>
        <w:tc>
          <w:tcPr/>
          <w:p>
            <w:pPr>
              <w:pStyle w:val="Compact"/>
            </w:pPr>
            <w:r>
              <w:t xml:space="preserve">Значение параметра</w:t>
            </w:r>
            <w:r>
              <w:t xml:space="preserve"> </w:t>
            </w:r>
            <w:r>
              <w:rPr>
                <w:rStyle w:val="VerbatimChar"/>
              </w:rPr>
              <w:t xml:space="preserve">I128FAuthKeyName</w:t>
            </w:r>
            <w:r>
              <w:t xml:space="preserve">, которое передается во внешней ссылке.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Ключевая строка</w:t>
            </w:r>
          </w:p>
        </w:tc>
        <w:tc>
          <w:tcPr/>
          <w:p>
            <w:pPr>
              <w:pStyle w:val="Compact"/>
            </w:pPr>
            <w:r>
              <w:t xml:space="preserve">Секретная строка для расчета подписи. В ссылку она не передается.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Срок жизни ссылки</w:t>
            </w:r>
          </w:p>
        </w:tc>
        <w:tc>
          <w:tcPr/>
          <w:p>
            <w:pPr>
              <w:pStyle w:val="Compact"/>
            </w:pPr>
            <w:r>
              <w:t xml:space="preserve">Количество секунд, в течение которых ссылка считается действительной.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300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Для каждой внешней системы или рассылки рекомендуется использовать отдельную запись ключа. При смене ключа нужно одновременно обновить настройку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 во внешней системе, которая формирует ссылки.</w:t>
      </w:r>
    </w:p>
    <w:p>
      <w:pPr>
        <w:pStyle w:val="BodyText"/>
      </w:pPr>
      <w:r>
        <w:t xml:space="preserve">Если защищенные ссылки формирует модуль</w:t>
      </w:r>
      <w:r>
        <w:t xml:space="preserve"> </w:t>
      </w:r>
      <w:r>
        <w:rPr>
          <w:rStyle w:val="VerbatimChar"/>
        </w:rPr>
        <w:t xml:space="preserve">Iri</w:t>
      </w:r>
      <w:r>
        <w:t xml:space="preserve">, в его настройках должны быть заполнены параметры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. Значение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должно совпадать с мнемоническим именем ключа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 а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 </w:t>
      </w:r>
      <w:r>
        <w:t xml:space="preserve">- с ключевой строкой той же записи.</w:t>
      </w:r>
    </w:p>
    <w:bookmarkEnd w:id="14"/>
    <w:bookmarkStart w:id="15" w:name="параметры-ссылки"/>
    <w:p>
      <w:pPr>
        <w:pStyle w:val="Heading3"/>
      </w:pPr>
      <w:r>
        <w:t xml:space="preserve">2. Параметры ссылки</w:t>
      </w:r>
    </w:p>
    <w:p>
      <w:pPr>
        <w:pStyle w:val="FirstParagraph"/>
      </w:pPr>
      <w:r>
        <w:t xml:space="preserve">Внешняя система добавляет к целевому адресу следующие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</w:t>
            </w:r>
          </w:p>
        </w:tc>
        <w:tc>
          <w:tcPr/>
          <w:p>
            <w:pPr>
              <w:pStyle w:val="Compact"/>
            </w:pPr>
            <w:r>
              <w:t xml:space="preserve">Логин или другое значение, по которому запись пользователя находится в базе пользователей через префикс</w:t>
            </w:r>
            <w:r>
              <w:t xml:space="preserve"> </w:t>
            </w:r>
            <w:r>
              <w:rPr>
                <w:rStyle w:val="VerbatimChar"/>
              </w:rPr>
              <w:t xml:space="preserve">loginPrefix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I128FAuthPass</w:t>
            </w:r>
          </w:p>
        </w:tc>
        <w:tc>
          <w:tcPr/>
          <w:p>
            <w:pPr>
              <w:pStyle w:val="Compact"/>
            </w:pPr>
            <w:r>
              <w:t xml:space="preserve">Подпись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I128FAuthKeyName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ключа из настройки</w:t>
            </w:r>
            <w:r>
              <w:t xml:space="preserve"> </w:t>
            </w:r>
            <w:r>
              <w:rPr>
                <w:rStyle w:val="VerbatimChar"/>
              </w:rPr>
              <w:t xml:space="preserve">transparentAuthKeys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I128FAuthTime</w:t>
            </w:r>
          </w:p>
        </w:tc>
        <w:tc>
          <w:tcPr/>
          <w:p>
            <w:pPr>
              <w:pStyle w:val="Compact"/>
            </w:pPr>
            <w:r>
              <w:t xml:space="preserve">Время формирования ссылки в формате Unix time.</w:t>
            </w:r>
          </w:p>
        </w:tc>
      </w:tr>
    </w:tbl>
    <w:p>
      <w:pPr>
        <w:pStyle w:val="BodyText"/>
      </w:pPr>
      <w:r>
        <w:t xml:space="preserve">Подпись рассчитывается без разделителей:</w:t>
      </w:r>
    </w:p>
    <w:p>
      <w:pPr>
        <w:pStyle w:val="SourceCode"/>
      </w:pPr>
      <w:r>
        <w:rPr>
          <w:rStyle w:val="VerbatimChar"/>
        </w:rPr>
        <w:t xml:space="preserve">I128FAuthPass = md5(I128FAuth . md5(secret) . I128FAuthTime)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 </w:t>
      </w:r>
      <w:r>
        <w:t xml:space="preserve">- ключевая строка из выбранной записи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.</w:t>
      </w:r>
    </w:p>
    <w:p>
      <w:pPr>
        <w:pStyle w:val="BodyText"/>
      </w:pPr>
      <w:r>
        <w:t xml:space="preserve">Пример структуры ссылки:</w:t>
      </w:r>
    </w:p>
    <w:p>
      <w:pPr>
        <w:pStyle w:val="SourceCode"/>
      </w:pPr>
      <w:r>
        <w:rPr>
          <w:rStyle w:val="VerbatimChar"/>
        </w:rPr>
        <w:t xml:space="preserve">?id=EC/Show&amp;base[]=IBIS&amp;o=Search&amp;orsrc[]=%22I=123%22&amp;I128FAuth=&lt;login&gt;&amp;I128FAuthPass=&lt;signature&gt;&amp;I128FAuthKeyName=&lt;key_name&gt;&amp;I128FAuthTime=&lt;unix_time&gt;</w:t>
      </w:r>
    </w:p>
    <w:bookmarkEnd w:id="15"/>
    <w:bookmarkStart w:id="16" w:name="проверка-входа"/>
    <w:p>
      <w:pPr>
        <w:pStyle w:val="Heading3"/>
      </w:pPr>
      <w:r>
        <w:t xml:space="preserve">3. Проверка входа</w:t>
      </w:r>
    </w:p>
    <w:p>
      <w:pPr>
        <w:pStyle w:val="FirstParagraph"/>
      </w:pPr>
      <w:r>
        <w:t xml:space="preserve">При открытии ссылки 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выполняет проверку в общем процессе входа: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CheckOnline</w:t>
      </w:r>
      <w:r>
        <w:t xml:space="preserve"> </w:t>
      </w:r>
      <w:r>
        <w:t xml:space="preserve">обнаруживает параметр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и передает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I128FAuthPass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LoginFunc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LoginFunc</w:t>
      </w:r>
      <w:r>
        <w:t xml:space="preserve"> </w:t>
      </w:r>
      <w:r>
        <w:t xml:space="preserve">первым способом вызывает</w:t>
      </w:r>
      <w:r>
        <w:t xml:space="preserve"> </w:t>
      </w:r>
      <w:r>
        <w:rPr>
          <w:rStyle w:val="VerbatimChar"/>
        </w:rPr>
        <w:t xml:space="preserve">authTransparent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authTransparent</w:t>
      </w:r>
      <w:r>
        <w:t xml:space="preserve"> </w:t>
      </w:r>
      <w:r>
        <w:t xml:space="preserve">находит запись пользователя в базе пользователей по</w:t>
      </w:r>
      <w:r>
        <w:t xml:space="preserve"> </w:t>
      </w:r>
      <w:r>
        <w:rPr>
          <w:rStyle w:val="VerbatimChar"/>
        </w:rPr>
        <w:t xml:space="preserve">loginPrefix</w:t>
      </w:r>
      <w:r>
        <w:t xml:space="preserve"> </w:t>
      </w:r>
      <w:r>
        <w:t xml:space="preserve">и значению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authTransparent</w:t>
      </w:r>
      <w:r>
        <w:t xml:space="preserve"> </w:t>
      </w:r>
      <w:r>
        <w:t xml:space="preserve">выбирает ключ по</w:t>
      </w:r>
      <w:r>
        <w:t xml:space="preserve"> </w:t>
      </w:r>
      <w:r>
        <w:rPr>
          <w:rStyle w:val="VerbatimChar"/>
        </w:rPr>
        <w:t xml:space="preserve">I128FAuthKeyName</w:t>
      </w:r>
      <w:r>
        <w:t xml:space="preserve">, пересчитывает подпись и сравнивает ее с</w:t>
      </w:r>
      <w:r>
        <w:t xml:space="preserve"> </w:t>
      </w:r>
      <w:r>
        <w:rPr>
          <w:rStyle w:val="VerbatimChar"/>
        </w:rPr>
        <w:t xml:space="preserve">I128FAuthPass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I128FAuthTime</w:t>
      </w:r>
      <w:r>
        <w:t xml:space="preserve"> </w:t>
      </w:r>
      <w:r>
        <w:t xml:space="preserve">отличается от текущего времени сервера меньше чем на срок жизни ключа, вход считается успешным и для пользователя устанавливается обычный сессионный контекст.</w:t>
      </w:r>
    </w:p>
    <w:p>
      <w:pPr>
        <w:pStyle w:val="FirstParagraph"/>
      </w:pPr>
      <w:r>
        <w:t xml:space="preserve">Если логин, имя ключа, подпись или срок действия не проходят проверку, прозрачная авторизация не выполняется.</w:t>
      </w:r>
    </w:p>
    <w:bookmarkEnd w:id="16"/>
    <w:bookmarkStart w:id="17" w:name="практические-рекомендации"/>
    <w:p>
      <w:pPr>
        <w:pStyle w:val="Heading3"/>
      </w:pPr>
      <w:r>
        <w:t xml:space="preserve">4. Практические рекомендации</w:t>
      </w:r>
    </w:p>
    <w:p>
      <w:pPr>
        <w:pStyle w:val="Compact"/>
        <w:numPr>
          <w:ilvl w:val="0"/>
          <w:numId w:val="1003"/>
        </w:numPr>
      </w:pPr>
      <w:r>
        <w:t xml:space="preserve">Используйте отдельную пару ключей для каждой внешней системы или рассылки.</w:t>
      </w:r>
    </w:p>
    <w:p>
      <w:pPr>
        <w:pStyle w:val="Compact"/>
        <w:numPr>
          <w:ilvl w:val="0"/>
          <w:numId w:val="1003"/>
        </w:numPr>
      </w:pPr>
      <w:r>
        <w:t xml:space="preserve">Не передавайте ключевую строку в ссылке, письме или клиентском коде.</w:t>
      </w:r>
    </w:p>
    <w:p>
      <w:pPr>
        <w:pStyle w:val="Compact"/>
        <w:numPr>
          <w:ilvl w:val="0"/>
          <w:numId w:val="1003"/>
        </w:numPr>
      </w:pPr>
      <w:r>
        <w:t xml:space="preserve">Назначайте короткий срок жизни ссылки и учитывайте возможное расхождение времени между внешней системой и сервером ИРБИС 128.</w:t>
      </w:r>
    </w:p>
    <w:p>
      <w:pPr>
        <w:pStyle w:val="Compact"/>
        <w:numPr>
          <w:ilvl w:val="0"/>
          <w:numId w:val="1003"/>
        </w:numPr>
      </w:pPr>
      <w:r>
        <w:t xml:space="preserve">Кодируйте значения параметров URL, если логин, поисковое значение или имя ключа содержат пробелы, спецсимволы или кириллицу.</w:t>
      </w:r>
    </w:p>
    <w:p>
      <w:pPr>
        <w:pStyle w:val="Compact"/>
        <w:numPr>
          <w:ilvl w:val="0"/>
          <w:numId w:val="1003"/>
        </w:numPr>
      </w:pPr>
      <w:r>
        <w:t xml:space="preserve">Проверяйте, что значение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действительно находится в базе пользователей через текущий</w:t>
      </w:r>
      <w:r>
        <w:t xml:space="preserve"> </w:t>
      </w:r>
      <w:r>
        <w:rPr>
          <w:rStyle w:val="VerbatimChar"/>
        </w:rPr>
        <w:t xml:space="preserve">loginPrefix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смене ключа обновите его одновременно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 во внешней системе, которая формирует ссылки. Для</w:t>
      </w:r>
      <w:r>
        <w:t xml:space="preserve"> </w:t>
      </w:r>
      <w:r>
        <w:rPr>
          <w:rStyle w:val="VerbatimChar"/>
        </w:rPr>
        <w:t xml:space="preserve">Iri</w:t>
      </w:r>
      <w:r>
        <w:t xml:space="preserve"> </w:t>
      </w:r>
      <w:r>
        <w:t xml:space="preserve">это параметры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.</w:t>
      </w:r>
    </w:p>
    <w:bookmarkEnd w:id="17"/>
    <w:bookmarkEnd w:id="18"/>
    <w:bookmarkStart w:id="27" w:name="Xe151fab71ad74209767c96778c81de6f8df7919"/>
    <w:p>
      <w:pPr>
        <w:pStyle w:val="Heading2"/>
      </w:pPr>
      <w:r>
        <w:t xml:space="preserve">Настройка LDAP/Active Directory и доменной SSO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поддерживает проверку пользователя через LDAP/Active Directory и может принимать уже выполненную браузерную доменную аутентификацию. В Linux такая SSO-аутентификация настраивается на уровне веб-сервера через Kerberos/SPNEGO (GSSAPI), а ИРБИС 128 использует переданное веб-сервером значение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.</w:t>
      </w:r>
    </w:p>
    <w:p>
      <w:pPr>
        <w:pStyle w:val="BodyText"/>
      </w:pPr>
      <w:r>
        <w:t xml:space="preserve">В обоих сценариях в PHP должен быть подключён модуль</w:t>
      </w:r>
      <w:r>
        <w:t xml:space="preserve"> </w:t>
      </w:r>
      <w:r>
        <w:rPr>
          <w:rStyle w:val="VerbatimChar"/>
        </w:rPr>
        <w:t xml:space="preserve">ldap</w:t>
      </w:r>
      <w:r>
        <w:t xml:space="preserve">.</w:t>
      </w:r>
    </w:p>
    <w:p>
      <w:pPr>
        <w:pStyle w:val="SourceCode"/>
      </w:pPr>
      <w:r>
        <w:rPr>
          <w:rStyle w:val="DataTypeTok"/>
        </w:rPr>
        <w:t xml:space="preserve">extension</w:t>
      </w:r>
      <w:r>
        <w:rPr>
          <w:rStyle w:val="OtherTok"/>
        </w:rPr>
        <w:t xml:space="preserve">=</w:t>
      </w:r>
      <w:r>
        <w:rPr>
          <w:rStyle w:val="StringTok"/>
        </w:rPr>
        <w:t xml:space="preserve">ldap</w:t>
      </w:r>
    </w:p>
    <w:p>
      <w:pPr>
        <w:pStyle w:val="FirstParagraph"/>
      </w:pPr>
      <w:r>
        <w:t xml:space="preserve">Если расширение не подключено, настройки LDAP в модуле авторизации скрываются, а вход через Active Directory недоступен.</w:t>
      </w:r>
    </w:p>
    <w:p>
      <w:pPr>
        <w:pStyle w:val="BodyText"/>
      </w:pPr>
      <w:r>
        <w:t xml:space="preserve">После подключения расширения 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появляется раздел</w:t>
      </w:r>
      <w:r>
        <w:t xml:space="preserve"> </w:t>
      </w:r>
      <w:r>
        <w:rPr>
          <w:b/>
          <w:bCs/>
        </w:rPr>
        <w:t xml:space="preserve">Использование для аутентификации Active Directory</w:t>
      </w:r>
      <w:r>
        <w:t xml:space="preserve">.</w:t>
      </w:r>
    </w:p>
    <w:p>
      <w:pPr>
        <w:pStyle w:val="CaptionedFigure"/>
      </w:pPr>
      <w:r>
        <w:drawing>
          <wp:inline>
            <wp:extent cx="5334000" cy="3556000"/>
            <wp:effectExtent b="0" l="0" r="0" t="0"/>
            <wp:docPr descr="Рисунок 1 - Настройки аутентификации по LDAP" title="Настройки аутентификации по LDAP" id="20" name="Picture"/>
            <a:graphic>
              <a:graphicData uri="http://schemas.openxmlformats.org/drawingml/2006/picture">
                <pic:pic>
                  <pic:nvPicPr>
                    <pic:cNvPr descr="modules/Authorisation/Help/img/img00001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6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Настройки аутентификации по LDAP</w:t>
      </w:r>
    </w:p>
    <w:bookmarkStart w:id="22" w:name="основные-параметры"/>
    <w:p>
      <w:pPr>
        <w:pStyle w:val="Heading3"/>
      </w:pPr>
      <w:r>
        <w:t xml:space="preserve">1. Основные параметры</w:t>
      </w:r>
    </w:p>
    <w:p>
      <w:pPr>
        <w:pStyle w:val="FirstParagraph"/>
      </w:pPr>
      <w:r>
        <w:t xml:space="preserve">Для включения LDAP-аутентификации:</w:t>
      </w:r>
    </w:p>
    <w:p>
      <w:pPr>
        <w:pStyle w:val="Compact"/>
        <w:numPr>
          <w:ilvl w:val="0"/>
          <w:numId w:val="1004"/>
        </w:numPr>
      </w:pPr>
      <w:r>
        <w:t xml:space="preserve">Включите параметр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 </w:t>
      </w:r>
      <w:r>
        <w:t xml:space="preserve">(</w:t>
      </w:r>
      <w:r>
        <w:rPr>
          <w:b/>
          <w:bCs/>
        </w:rPr>
        <w:t xml:space="preserve">Разрешить использовать Active Directory</w:t>
      </w:r>
      <w:r>
        <w:t xml:space="preserve">).</w:t>
      </w:r>
    </w:p>
    <w:p>
      <w:pPr>
        <w:pStyle w:val="Compact"/>
        <w:numPr>
          <w:ilvl w:val="0"/>
          <w:numId w:val="1004"/>
        </w:numPr>
      </w:pPr>
      <w:r>
        <w:t xml:space="preserve">Укажите контроллеры домена в настройке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включите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, если вход должен выполняться по браузерной SSO-аутентификации через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включите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, если система должна создавать запись пользователя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после успешной аутентификации в Active Directory.</w:t>
      </w:r>
    </w:p>
    <w:p>
      <w:pPr>
        <w:pStyle w:val="FirstParagraph"/>
      </w:pPr>
      <w:r>
        <w:t xml:space="preserve">В строках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задаются:</w:t>
      </w:r>
    </w:p>
    <w:p>
      <w:pPr>
        <w:pStyle w:val="Compact"/>
        <w:numPr>
          <w:ilvl w:val="0"/>
          <w:numId w:val="1005"/>
        </w:numPr>
      </w:pPr>
      <w:r>
        <w:t xml:space="preserve">контроллер домена;</w:t>
      </w:r>
    </w:p>
    <w:p>
      <w:pPr>
        <w:pStyle w:val="Compact"/>
        <w:numPr>
          <w:ilvl w:val="0"/>
          <w:numId w:val="1005"/>
        </w:numPr>
      </w:pPr>
      <w:r>
        <w:t xml:space="preserve">логин и пароль служебной учётной записи для чтения LDAP;</w:t>
      </w:r>
    </w:p>
    <w:p>
      <w:pPr>
        <w:pStyle w:val="Compact"/>
        <w:numPr>
          <w:ilvl w:val="0"/>
          <w:numId w:val="1005"/>
        </w:numPr>
      </w:pPr>
      <w:r>
        <w:t xml:space="preserve">суффикс домена, например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.</w:t>
      </w:r>
    </w:p>
    <w:p>
      <w:pPr>
        <w:pStyle w:val="FirstParagraph"/>
      </w:pPr>
      <w:r>
        <w:t xml:space="preserve">Если пользователь вводит короткий логин, а суффикс заполнен, модуль формирует полный логин вида</w:t>
      </w:r>
      <w:r>
        <w:t xml:space="preserve"> </w:t>
      </w:r>
      <w:r>
        <w:rPr>
          <w:rStyle w:val="VerbatimChar"/>
        </w:rPr>
        <w:t xml:space="preserve">login@example.org</w:t>
      </w:r>
      <w:r>
        <w:t xml:space="preserve">. После успешной проверки модуль ищет запись пользователя 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термину</w:t>
      </w:r>
      <w:r>
        <w:t xml:space="preserve"> </w:t>
      </w:r>
      <w:r>
        <w:rPr>
          <w:rStyle w:val="VerbatimChar"/>
        </w:rPr>
        <w:t xml:space="preserve">RI=&lt;полный_логин&gt;</w:t>
      </w:r>
      <w:r>
        <w:t xml:space="preserve">. Если запись не найдена и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 </w:t>
      </w:r>
      <w:r>
        <w:t xml:space="preserve">включён, создаётся новая запись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а затем выполняется импорт данных из LDAP.</w:t>
      </w:r>
    </w:p>
    <w:bookmarkEnd w:id="22"/>
    <w:bookmarkStart w:id="23" w:name="обычный-вход-по-ldap"/>
    <w:p>
      <w:pPr>
        <w:pStyle w:val="Heading3"/>
      </w:pPr>
      <w:r>
        <w:t xml:space="preserve">2. Обычный вход по LDAP</w:t>
      </w:r>
    </w:p>
    <w:p>
      <w:pPr>
        <w:pStyle w:val="FirstParagraph"/>
      </w:pPr>
      <w:r>
        <w:t xml:space="preserve">При обычном входе пользователь вводит логин и пароль в форме авторизации. Модуль:</w:t>
      </w:r>
    </w:p>
    <w:p>
      <w:pPr>
        <w:pStyle w:val="Compact"/>
        <w:numPr>
          <w:ilvl w:val="0"/>
          <w:numId w:val="1006"/>
        </w:numPr>
      </w:pPr>
      <w:r>
        <w:t xml:space="preserve">выбирает настроенный контроллер домена;</w:t>
      </w:r>
    </w:p>
    <w:p>
      <w:pPr>
        <w:pStyle w:val="Compact"/>
        <w:numPr>
          <w:ilvl w:val="0"/>
          <w:numId w:val="1006"/>
        </w:numPr>
      </w:pPr>
      <w:r>
        <w:t xml:space="preserve">проверяет пароль пользователя через LDAP;</w:t>
      </w:r>
    </w:p>
    <w:p>
      <w:pPr>
        <w:pStyle w:val="Compact"/>
        <w:numPr>
          <w:ilvl w:val="0"/>
          <w:numId w:val="1006"/>
        </w:numPr>
      </w:pPr>
      <w:r>
        <w:t xml:space="preserve">повторно подключается служебной учётной записью из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ищет пользователя в Active Directory по</w:t>
      </w:r>
      <w:r>
        <w:t xml:space="preserve"> </w:t>
      </w:r>
      <w:r>
        <w:rPr>
          <w:rStyle w:val="VerbatimChar"/>
        </w:rPr>
        <w:t xml:space="preserve">sAMAccountName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сопоставляет пользователя с записью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или создаёт её, если это разрешено настройкой;</w:t>
      </w:r>
    </w:p>
    <w:p>
      <w:pPr>
        <w:pStyle w:val="Compact"/>
        <w:numPr>
          <w:ilvl w:val="0"/>
          <w:numId w:val="1006"/>
        </w:numPr>
      </w:pPr>
      <w:r>
        <w:t xml:space="preserve">переносит данные LDAP в запись пользователя по правилам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.</w:t>
      </w:r>
    </w:p>
    <w:bookmarkEnd w:id="23"/>
    <w:bookmarkStart w:id="24" w:name="X6e68b77a1c1d12eb6bc3c0ecfe9fab1e95f0556"/>
    <w:p>
      <w:pPr>
        <w:pStyle w:val="Heading3"/>
      </w:pPr>
      <w:r>
        <w:t xml:space="preserve">3. Браузерная SSO-аутентификация через GSSAPI</w:t>
      </w:r>
    </w:p>
    <w:p>
      <w:pPr>
        <w:pStyle w:val="FirstParagraph"/>
      </w:pPr>
      <w:r>
        <w:t xml:space="preserve">При включённом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 </w:t>
      </w:r>
      <w:r>
        <w:t xml:space="preserve">модуль может использовать значение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, переданное веб-сервером. Это позволяет выполнять автоматический вход пользователя при работе в домене без ввода пароля в форме ИРБИС 128.</w:t>
      </w:r>
    </w:p>
    <w:p>
      <w:pPr>
        <w:pStyle w:val="BodyText"/>
      </w:pPr>
      <w:r>
        <w:t xml:space="preserve">В Linux ИРБИС 128 не настраивает Kerberos самостоятельно и не получает Kerberos-ticket от браузера напрямую. Цепочка должна быть такой:</w:t>
      </w:r>
    </w:p>
    <w:p>
      <w:pPr>
        <w:pStyle w:val="Compact"/>
        <w:numPr>
          <w:ilvl w:val="0"/>
          <w:numId w:val="1007"/>
        </w:numPr>
      </w:pPr>
      <w:r>
        <w:t xml:space="preserve">браузер пользователя получает доменный Kerberos-ticket;</w:t>
      </w:r>
    </w:p>
    <w:p>
      <w:pPr>
        <w:pStyle w:val="Compact"/>
        <w:numPr>
          <w:ilvl w:val="0"/>
          <w:numId w:val="1007"/>
        </w:numPr>
      </w:pPr>
      <w:r>
        <w:t xml:space="preserve">веб-сервер проверяет его через SPNEGO/GSSAPI;</w:t>
      </w:r>
    </w:p>
    <w:p>
      <w:pPr>
        <w:pStyle w:val="Compact"/>
        <w:numPr>
          <w:ilvl w:val="0"/>
          <w:numId w:val="1007"/>
        </w:numPr>
      </w:pPr>
      <w:r>
        <w:t xml:space="preserve">веб-сервер передаёт PHP корректный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принимает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, а затем использует LDAP-настройки для поиска пользователя и импорта данных из Active Directory.</w:t>
      </w:r>
    </w:p>
    <w:p>
      <w:pPr>
        <w:pStyle w:val="FirstParagraph"/>
      </w:pPr>
      <w:r>
        <w:t xml:space="preserve">Для такого сценария должны быть корректно настроены:</w:t>
      </w:r>
    </w:p>
    <w:p>
      <w:pPr>
        <w:pStyle w:val="Compact"/>
        <w:numPr>
          <w:ilvl w:val="0"/>
          <w:numId w:val="1008"/>
        </w:numPr>
      </w:pPr>
      <w:r>
        <w:t xml:space="preserve">Kerberos-конфигурация Linux-сервера и доступность контроллера домена;</w:t>
      </w:r>
    </w:p>
    <w:p>
      <w:pPr>
        <w:pStyle w:val="Compact"/>
        <w:numPr>
          <w:ilvl w:val="0"/>
          <w:numId w:val="1008"/>
        </w:numPr>
      </w:pPr>
      <w:r>
        <w:t xml:space="preserve">service principal вида</w:t>
      </w:r>
      <w:r>
        <w:t xml:space="preserve"> </w:t>
      </w:r>
      <w:r>
        <w:rPr>
          <w:rStyle w:val="VerbatimChar"/>
        </w:rPr>
        <w:t xml:space="preserve">HTTP/&lt;имя_сайта&gt;@&lt;REALM&gt;</w:t>
      </w:r>
      <w:r>
        <w:t xml:space="preserve"> </w:t>
      </w:r>
      <w:r>
        <w:t xml:space="preserve">и keytab, доступный процессу веб-сервера;</w:t>
      </w:r>
    </w:p>
    <w:p>
      <w:pPr>
        <w:pStyle w:val="Compact"/>
        <w:numPr>
          <w:ilvl w:val="0"/>
          <w:numId w:val="1008"/>
        </w:numPr>
      </w:pPr>
      <w:r>
        <w:t xml:space="preserve">модуль веб-сервера для SPNEGO/GSSAPI и передача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в PHP/FastCGI;</w:t>
      </w:r>
    </w:p>
    <w:p>
      <w:pPr>
        <w:pStyle w:val="Compact"/>
        <w:numPr>
          <w:ilvl w:val="0"/>
          <w:numId w:val="1008"/>
        </w:numPr>
      </w:pPr>
      <w:r>
        <w:t xml:space="preserve">доверенная зона браузера или доменная политика, разрешающая передачу учётной записи на адрес системы;</w:t>
      </w:r>
    </w:p>
    <w:p>
      <w:pPr>
        <w:pStyle w:val="Compact"/>
        <w:numPr>
          <w:ilvl w:val="0"/>
          <w:numId w:val="1008"/>
        </w:numPr>
      </w:pPr>
      <w:r>
        <w:t xml:space="preserve">параметры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REMOTE_USER</w:t>
      </w:r>
      <w:r>
        <w:t xml:space="preserve"> </w:t>
      </w:r>
      <w:r>
        <w:t xml:space="preserve">должен приходить в формате, который можно сопоставить с</w:t>
      </w:r>
      <w:r>
        <w:t xml:space="preserve"> </w:t>
      </w:r>
      <w:r>
        <w:rPr>
          <w:rStyle w:val="VerbatimChar"/>
        </w:rPr>
        <w:t xml:space="preserve">sAMAccountName</w:t>
      </w:r>
      <w:r>
        <w:t xml:space="preserve"> </w:t>
      </w:r>
      <w:r>
        <w:t xml:space="preserve">и суффиксом из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: обычно это короткий логин или</w:t>
      </w:r>
      <w:r>
        <w:t xml:space="preserve"> </w:t>
      </w:r>
      <w:r>
        <w:rPr>
          <w:rStyle w:val="VerbatimChar"/>
        </w:rPr>
        <w:t xml:space="preserve">login@example.org</w:t>
      </w:r>
      <w:r>
        <w:t xml:space="preserve">. Если веб-сервер передаёт</w:t>
      </w:r>
      <w:r>
        <w:t xml:space="preserve"> </w:t>
      </w:r>
      <w:r>
        <w:rPr>
          <w:rStyle w:val="VerbatimChar"/>
        </w:rPr>
        <w:t xml:space="preserve">DOMAIN\login</w:t>
      </w:r>
      <w:r>
        <w:t xml:space="preserve">, настройте нормализацию на стороне веб-сервера до передачи значения в ИРБИС 128.</w:t>
      </w:r>
    </w:p>
    <w:p>
      <w:pPr>
        <w:pStyle w:val="BodyText"/>
      </w:pPr>
      <w:r>
        <w:t xml:space="preserve">Служебная учётная запись в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всё равно нужна: после успешной SSO-аутентификации модуль читает данные пользователя из Active Directory и переносит их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24"/>
    <w:bookmarkStart w:id="25" w:name="импорт-данных-в-запись-пользователя"/>
    <w:p>
      <w:pPr>
        <w:pStyle w:val="Heading3"/>
      </w:pPr>
      <w:r>
        <w:t xml:space="preserve">4. Импорт данных в запись пользователя</w:t>
      </w:r>
    </w:p>
    <w:p>
      <w:pPr>
        <w:pStyle w:val="FirstParagraph"/>
      </w:pPr>
      <w:r>
        <w:t xml:space="preserve">Модуль может создавать или обновлять запись пользователя 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при входе через LDAP. Соответствие LDAP-атрибутов полям записи задаётся настройкой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.</w:t>
      </w:r>
    </w:p>
    <w:p>
      <w:pPr>
        <w:pStyle w:val="BodyText"/>
      </w:pPr>
      <w:r>
        <w:t xml:space="preserve">Используйте эту настройку, если из каталога Active Directory нужно переносить фамилию, имя, отчество, подразделение или другие атрибуты в запись пользователя.</w:t>
      </w:r>
    </w:p>
    <w:p>
      <w:pPr>
        <w:pStyle w:val="BodyText"/>
      </w:pPr>
      <w:r>
        <w:t xml:space="preserve">Дополнительная обработка записи задаётся параметрами</w:t>
      </w:r>
      <w:r>
        <w:t xml:space="preserve"> </w:t>
      </w:r>
      <w:r>
        <w:rPr>
          <w:rStyle w:val="VerbatimChar"/>
        </w:rPr>
        <w:t xml:space="preserve">usrFuncLdapImportModule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usrFuncLdapImportFunc</w:t>
      </w:r>
      <w:r>
        <w:t xml:space="preserve">. Указанная функция вызывается после стандартного импорта и может выполнить проектное заполнение или проверку записи.</w:t>
      </w:r>
    </w:p>
    <w:bookmarkEnd w:id="25"/>
    <w:bookmarkStart w:id="26" w:name="диагностика"/>
    <w:p>
      <w:pPr>
        <w:pStyle w:val="Heading3"/>
      </w:pPr>
      <w:r>
        <w:t xml:space="preserve">5. Диагностика</w:t>
      </w:r>
    </w:p>
    <w:p>
      <w:pPr>
        <w:pStyle w:val="FirstParagraph"/>
      </w:pPr>
      <w:r>
        <w:t xml:space="preserve">Если настройки Active Directory не видны в модуле, проверьте подключение PHP-расширения</w:t>
      </w:r>
      <w:r>
        <w:t xml:space="preserve"> </w:t>
      </w:r>
      <w:r>
        <w:rPr>
          <w:rStyle w:val="VerbatimChar"/>
        </w:rPr>
        <w:t xml:space="preserve">ldap</w:t>
      </w:r>
      <w:r>
        <w:t xml:space="preserve">.</w:t>
      </w:r>
    </w:p>
    <w:p>
      <w:pPr>
        <w:pStyle w:val="BodyText"/>
      </w:pPr>
      <w:r>
        <w:t xml:space="preserve">Если вход по логину и паролю работает, а браузерная SSO-аутентификация нет, сначала проверьте, что веб-сервер действительно передаёт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в PHP и что формат значения совпадает с ожидаемым логином пользователя.</w:t>
      </w:r>
    </w:p>
    <w:p>
      <w:pPr>
        <w:pStyle w:val="BodyText"/>
      </w:pPr>
      <w:r>
        <w:t xml:space="preserve">Если аутентификация проходит, но запись пользователя не находится, проверьте наличие термина</w:t>
      </w:r>
      <w:r>
        <w:t xml:space="preserve"> </w:t>
      </w:r>
      <w:r>
        <w:rPr>
          <w:rStyle w:val="VerbatimChar"/>
        </w:rPr>
        <w:t xml:space="preserve">RI=&lt;полный_логин&gt;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или включите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 </w:t>
      </w:r>
      <w:r>
        <w:t xml:space="preserve">для автоматического создания записи. После создания записи проверьте правила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, если нужно заполнить пользовательские поля из Active Directory.</w:t>
      </w:r>
    </w:p>
    <w:p>
      <w:pPr>
        <w:pStyle w:val="BodyText"/>
      </w:pPr>
      <w:r>
        <w:t xml:space="preserve">Для production-сценария используйте HTTPS, ограничьте доступ к keytab только процессом веб-сервера и не принимайте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от недоверенного прокси без явной проверки на уровне веб-сервера.</w:t>
      </w:r>
    </w:p>
    <w:bookmarkEnd w:id="26"/>
    <w:bookmarkEnd w:id="27"/>
    <w:bookmarkStart w:id="37" w:name="настройка-аутентификации-через-вконтакте"/>
    <w:p>
      <w:pPr>
        <w:pStyle w:val="Heading2"/>
      </w:pPr>
      <w:r>
        <w:t xml:space="preserve">Настройка аутентификации через ВКонтакте</w:t>
      </w:r>
    </w:p>
    <w:p>
      <w:pPr>
        <w:pStyle w:val="FirstParagraph"/>
      </w:pPr>
      <w:r>
        <w:t xml:space="preserve">Для входа через ВКонтакте необходимо зарегистрировать приложение ВКонтакте и указать его параметры 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</w:t>
      </w:r>
    </w:p>
    <w:bookmarkStart w:id="35" w:name="регистрация-приложения"/>
    <w:p>
      <w:pPr>
        <w:pStyle w:val="Heading3"/>
      </w:pPr>
      <w:r>
        <w:t xml:space="preserve">1. Регистрация приложения</w:t>
      </w:r>
    </w:p>
    <w:p>
      <w:pPr>
        <w:pStyle w:val="FirstParagraph"/>
      </w:pPr>
      <w:r>
        <w:t xml:space="preserve">Откройте страницу управления приложениями ВКонтакте:</w:t>
      </w:r>
    </w:p>
    <w:p>
      <w:pPr>
        <w:pStyle w:val="BodyText"/>
      </w:pPr>
      <w:hyperlink r:id="rId28">
        <w:r>
          <w:rPr>
            <w:rStyle w:val="Hyperlink"/>
          </w:rPr>
          <w:t xml:space="preserve">https://vk.com/apps?act=manage</w:t>
        </w:r>
      </w:hyperlink>
    </w:p>
    <w:p>
      <w:pPr>
        <w:pStyle w:val="BodyText"/>
      </w:pPr>
      <w:r>
        <w:t xml:space="preserve">Создайте приложение, укажите, что это сайт, задайте адрес сайта и базовый домен.</w:t>
      </w:r>
    </w:p>
    <w:p>
      <w:pPr>
        <w:pStyle w:val="CaptionedFigure"/>
      </w:pPr>
      <w:r>
        <w:drawing>
          <wp:inline>
            <wp:extent cx="5334000" cy="3366757"/>
            <wp:effectExtent b="0" l="0" r="0" t="0"/>
            <wp:docPr descr="Создание приложения ВКонтакте" title="" id="30" name="Picture"/>
            <a:graphic>
              <a:graphicData uri="http://schemas.openxmlformats.org/drawingml/2006/picture">
                <pic:pic>
                  <pic:nvPicPr>
                    <pic:cNvPr descr="modules/Authorisation/Help/img/vk0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667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Создание приложения ВКонтакте</w:t>
      </w:r>
    </w:p>
    <w:p>
      <w:pPr>
        <w:pStyle w:val="BodyText"/>
      </w:pPr>
      <w:r>
        <w:t xml:space="preserve">После создания откройте настройки приложения и скопируйте данные, необходимые для подключения.</w:t>
      </w:r>
    </w:p>
    <w:p>
      <w:pPr>
        <w:pStyle w:val="CaptionedFigure"/>
      </w:pPr>
      <w:r>
        <w:drawing>
          <wp:inline>
            <wp:extent cx="5334000" cy="4517136"/>
            <wp:effectExtent b="0" l="0" r="0" t="0"/>
            <wp:docPr descr="Настройки приложения ВКонтакте" title="" id="33" name="Picture"/>
            <a:graphic>
              <a:graphicData uri="http://schemas.openxmlformats.org/drawingml/2006/picture">
                <pic:pic>
                  <pic:nvPicPr>
                    <pic:cNvPr descr="modules/Authorisation/Help/img/vk0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5171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Настройки приложения ВКонтакте</w:t>
      </w:r>
    </w:p>
    <w:bookmarkEnd w:id="35"/>
    <w:bookmarkStart w:id="36" w:name="настройки-в-ирбис128"/>
    <w:p>
      <w:pPr>
        <w:pStyle w:val="Heading3"/>
      </w:pPr>
      <w:r>
        <w:t xml:space="preserve">2. Настройки в ИРБИС128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используйте раздел</w:t>
      </w:r>
      <w:r>
        <w:t xml:space="preserve"> </w:t>
      </w:r>
      <w:r>
        <w:rPr>
          <w:b/>
          <w:bCs/>
        </w:rPr>
        <w:t xml:space="preserve">Использование для аутентификации ВКонтакте</w:t>
      </w:r>
      <w:r>
        <w:t xml:space="preserve">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vkAllow</w:t>
      </w:r>
      <w:r>
        <w:t xml:space="preserve"> </w:t>
      </w:r>
      <w:r>
        <w:t xml:space="preserve">- разрешить вход по учётным данным ВКонтакте;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vkAllowCreateRdr</w:t>
      </w:r>
      <w:r>
        <w:t xml:space="preserve"> </w:t>
      </w:r>
      <w:r>
        <w:t xml:space="preserve">- разрешить создание записи пользователя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после успешной аутентификации;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vkImportData</w:t>
      </w:r>
      <w:r>
        <w:t xml:space="preserve"> </w:t>
      </w:r>
      <w:r>
        <w:t xml:space="preserve">- сопоставить данные профиля ВКонтакте с полями записи пользователя.</w:t>
      </w:r>
    </w:p>
    <w:p>
      <w:pPr>
        <w:pStyle w:val="FirstParagraph"/>
      </w:pPr>
      <w:r>
        <w:t xml:space="preserve">После сохранения настроек проверьте вход тестовым пользователем и убедитесь, что запись пользователя создаётся или обновляется ожидаемым образом.</w:t>
      </w:r>
    </w:p>
    <w:bookmarkEnd w:id="36"/>
    <w:bookmarkEnd w:id="37"/>
    <w:bookmarkStart w:id="44" w:name="настройка-аутентификации-через-есиа"/>
    <w:p>
      <w:pPr>
        <w:pStyle w:val="Heading2"/>
      </w:pPr>
      <w:r>
        <w:t xml:space="preserve">Настройка аутентификации через ЕСИА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поддерживает вход пользователя через ЕСИА. Сценарий используется для внешней авторизации читателя: система перенаправляет пользователя на портал ЕСИА, получает ответ с кодом авторизации, находит или создает запись читателя и затем выполняет обычный вход в ИРБИС 128 под учетными данными, сохраненными в записи.</w:t>
      </w:r>
    </w:p>
    <w:bookmarkStart w:id="38" w:name="предварительная-настройка-есиа"/>
    <w:p>
      <w:pPr>
        <w:pStyle w:val="Heading3"/>
      </w:pPr>
      <w:r>
        <w:t xml:space="preserve">1. Предварительная настройка ЕСИА</w:t>
      </w:r>
    </w:p>
    <w:p>
      <w:pPr>
        <w:pStyle w:val="FirstParagraph"/>
      </w:pPr>
      <w:r>
        <w:t xml:space="preserve">Перед настройкой ИРБИС 128 информационная система организации должна быть зарегистрирована в ЕСИА. В заявке на подключение должны быть согласованы:</w:t>
      </w:r>
    </w:p>
    <w:p>
      <w:pPr>
        <w:pStyle w:val="Compact"/>
        <w:numPr>
          <w:ilvl w:val="0"/>
          <w:numId w:val="1010"/>
        </w:numPr>
      </w:pPr>
      <w:r>
        <w:t xml:space="preserve">мнемоника информационной системы;</w:t>
      </w:r>
    </w:p>
    <w:p>
      <w:pPr>
        <w:pStyle w:val="Compact"/>
        <w:numPr>
          <w:ilvl w:val="0"/>
          <w:numId w:val="1010"/>
        </w:numPr>
      </w:pPr>
      <w:r>
        <w:t xml:space="preserve">адрес портала ЕСИА, с которым работает организация;</w:t>
      </w:r>
    </w:p>
    <w:p>
      <w:pPr>
        <w:pStyle w:val="Compact"/>
        <w:numPr>
          <w:ilvl w:val="0"/>
          <w:numId w:val="1010"/>
        </w:numPr>
      </w:pPr>
      <w:r>
        <w:t xml:space="preserve">URL сайта организации, на который ЕСИА вернет пользователя после подтверждения входа;</w:t>
      </w:r>
    </w:p>
    <w:p>
      <w:pPr>
        <w:pStyle w:val="Compact"/>
        <w:numPr>
          <w:ilvl w:val="0"/>
          <w:numId w:val="1010"/>
        </w:numPr>
      </w:pPr>
      <w:r>
        <w:t xml:space="preserve">сертификат и закрытый ключ, используемые для подписи запросов;</w:t>
      </w:r>
    </w:p>
    <w:p>
      <w:pPr>
        <w:pStyle w:val="Compact"/>
        <w:numPr>
          <w:ilvl w:val="0"/>
          <w:numId w:val="1010"/>
        </w:numPr>
      </w:pPr>
      <w:r>
        <w:t xml:space="preserve">набор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, из которого система будет получать данные пользователя.</w:t>
      </w:r>
    </w:p>
    <w:p>
      <w:pPr>
        <w:pStyle w:val="FirstParagraph"/>
      </w:pPr>
      <w:r>
        <w:t xml:space="preserve">Callback-адрес в ЕСИА должен вести на обработчик ИРБИС 128:</w:t>
      </w:r>
    </w:p>
    <w:p>
      <w:pPr>
        <w:pStyle w:val="SourceCode"/>
      </w:pPr>
      <w:r>
        <w:rPr>
          <w:rStyle w:val="VerbatimChar"/>
        </w:rPr>
        <w:t xml:space="preserve">?id=WIrbis&amp;action=Authorisation/AuthESIA</w:t>
      </w:r>
    </w:p>
    <w:p>
      <w:pPr>
        <w:pStyle w:val="FirstParagraph"/>
      </w:pPr>
      <w:r>
        <w:t xml:space="preserve">Если в ЕСИА требуется полный адрес, укажите внешний адрес сайта организации и этот относительный путь.</w:t>
      </w:r>
    </w:p>
    <w:bookmarkEnd w:id="38"/>
    <w:bookmarkStart w:id="39" w:name="параметры-модуля"/>
    <w:p>
      <w:pPr>
        <w:pStyle w:val="Heading3"/>
      </w:pPr>
      <w:r>
        <w:t xml:space="preserve">2. Параметры модуля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используйте раздел</w:t>
      </w:r>
      <w:r>
        <w:t xml:space="preserve"> </w:t>
      </w:r>
      <w:r>
        <w:rPr>
          <w:b/>
          <w:bCs/>
        </w:rPr>
        <w:t xml:space="preserve">Использование для аутентификации ESIA</w:t>
      </w:r>
      <w:r>
        <w:t xml:space="preserve">.</w:t>
      </w:r>
    </w:p>
    <w:p>
      <w:pPr>
        <w:pStyle w:val="BodyText"/>
      </w:pPr>
      <w:r>
        <w:t xml:space="preserve">Основные параметры подключения: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AutorusCheck</w:t>
            </w:r>
          </w:p>
        </w:tc>
        <w:tc>
          <w:tcPr/>
          <w:p>
            <w:pPr>
              <w:pStyle w:val="Compact"/>
            </w:pPr>
            <w:r>
              <w:t xml:space="preserve">включает сценарий авторизации через ЕСИА в настройках модуля;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MnemESIA</w:t>
            </w:r>
          </w:p>
        </w:tc>
        <w:tc>
          <w:tcPr/>
          <w:p>
            <w:pPr>
              <w:pStyle w:val="Compact"/>
            </w:pPr>
            <w:r>
              <w:t xml:space="preserve">мнемоника информационной системы, выданная для подключения к ЕСИА;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URLforESIA</w:t>
            </w:r>
          </w:p>
        </w:tc>
        <w:tc>
          <w:tcPr/>
          <w:p>
            <w:pPr>
              <w:pStyle w:val="Compact"/>
            </w:pPr>
            <w:r>
              <w:t xml:space="preserve">адрес портала ЕСИА;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URLforORG</w:t>
            </w:r>
          </w:p>
        </w:tc>
        <w:tc>
          <w:tcPr/>
          <w:p>
            <w:pPr>
              <w:pStyle w:val="Compact"/>
            </w:pPr>
            <w:r>
              <w:t xml:space="preserve">внешний URL сайта организации, с которого формируется callback-адрес;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CertPath</w:t>
            </w:r>
          </w:p>
        </w:tc>
        <w:tc>
          <w:tcPr/>
          <w:p>
            <w:pPr>
              <w:pStyle w:val="Compact"/>
            </w:pPr>
            <w:r>
              <w:t xml:space="preserve">путь к сертификату;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PrivateKeyPath</w:t>
            </w:r>
          </w:p>
        </w:tc>
        <w:tc>
          <w:tcPr/>
          <w:p>
            <w:pPr>
              <w:pStyle w:val="Compact"/>
            </w:pPr>
            <w:r>
              <w:t xml:space="preserve">путь к закрытому ключу;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CertPass</w:t>
            </w:r>
          </w:p>
        </w:tc>
        <w:tc>
          <w:tcPr/>
          <w:p>
            <w:pPr>
              <w:pStyle w:val="Compact"/>
            </w:pPr>
            <w:r>
              <w:t xml:space="preserve">пароль закрытого ключа или сертификата;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listScope</w:t>
            </w:r>
          </w:p>
        </w:tc>
        <w:tc>
          <w:tcPr/>
          <w:p>
            <w:pPr>
              <w:pStyle w:val="Compact"/>
            </w:pPr>
            <w:r>
              <w:t xml:space="preserve">список запрашиваемых</w:t>
            </w:r>
            <w:r>
              <w:t xml:space="preserve"> </w:t>
            </w:r>
            <w:r>
              <w:rPr>
                <w:rStyle w:val="VerbatimChar"/>
              </w:rPr>
              <w:t xml:space="preserve">scope</w:t>
            </w:r>
            <w:r>
              <w:t xml:space="preserve">, разделенный запятыми.</w:t>
            </w:r>
          </w:p>
        </w:tc>
      </w:tr>
    </w:tbl>
    <w:p>
      <w:pPr>
        <w:pStyle w:val="BodyText"/>
      </w:pPr>
      <w:r>
        <w:t xml:space="preserve">Для стандартного поиска и создания читателя нужны данные пользователя, контакты и, если используются адресные поля, адресные данные. Обычно в</w:t>
      </w:r>
      <w:r>
        <w:t xml:space="preserve"> </w:t>
      </w:r>
      <w:r>
        <w:rPr>
          <w:rStyle w:val="VerbatimChar"/>
        </w:rPr>
        <w:t xml:space="preserve">listScope</w:t>
      </w:r>
      <w:r>
        <w:t xml:space="preserve"> </w:t>
      </w:r>
      <w:r>
        <w:t xml:space="preserve">указывают значения вида</w:t>
      </w:r>
      <w:r>
        <w:t xml:space="preserve"> </w:t>
      </w:r>
      <w:r>
        <w:rPr>
          <w:rStyle w:val="VerbatimChar"/>
        </w:rPr>
        <w:t xml:space="preserve">fullname,birthdate,gender,email,contacts</w:t>
      </w:r>
      <w:r>
        <w:t xml:space="preserve">.</w:t>
      </w:r>
    </w:p>
    <w:bookmarkEnd w:id="39"/>
    <w:bookmarkStart w:id="40" w:name="запуск-входа"/>
    <w:p>
      <w:pPr>
        <w:pStyle w:val="Heading3"/>
      </w:pPr>
      <w:r>
        <w:t xml:space="preserve">3. Запуск входа</w:t>
      </w:r>
    </w:p>
    <w:p>
      <w:pPr>
        <w:pStyle w:val="FirstParagraph"/>
      </w:pPr>
      <w:r>
        <w:t xml:space="preserve">Вход через ЕСИА начинается отдельным action:</w:t>
      </w:r>
    </w:p>
    <w:p>
      <w:pPr>
        <w:pStyle w:val="SourceCode"/>
      </w:pPr>
      <w:r>
        <w:rPr>
          <w:rStyle w:val="VerbatimChar"/>
        </w:rPr>
        <w:t xml:space="preserve">?id=WIrbis&amp;action=Authorisation/AuthESIAInput</w:t>
      </w:r>
    </w:p>
    <w:p>
      <w:pPr>
        <w:pStyle w:val="FirstParagraph"/>
      </w:pPr>
      <w:r>
        <w:t xml:space="preserve">Этот action формирует OpenID-запрос с параметрами</w:t>
      </w:r>
      <w:r>
        <w:t xml:space="preserve"> </w:t>
      </w:r>
      <w:r>
        <w:rPr>
          <w:rStyle w:val="VerbatimChar"/>
        </w:rPr>
        <w:t xml:space="preserve">MnemESIA</w:t>
      </w:r>
      <w:r>
        <w:t xml:space="preserve">,</w:t>
      </w:r>
      <w:r>
        <w:t xml:space="preserve"> </w:t>
      </w:r>
      <w:r>
        <w:rPr>
          <w:rStyle w:val="VerbatimChar"/>
        </w:rPr>
        <w:t xml:space="preserve">URLforORG</w:t>
      </w:r>
      <w:r>
        <w:t xml:space="preserve">,</w:t>
      </w:r>
      <w:r>
        <w:t xml:space="preserve"> </w:t>
      </w:r>
      <w:r>
        <w:rPr>
          <w:rStyle w:val="VerbatimChar"/>
        </w:rPr>
        <w:t xml:space="preserve">URLforESIA</w:t>
      </w:r>
      <w:r>
        <w:t xml:space="preserve">,</w:t>
      </w:r>
      <w:r>
        <w:t xml:space="preserve"> </w:t>
      </w:r>
      <w:r>
        <w:rPr>
          <w:rStyle w:val="VerbatimChar"/>
        </w:rPr>
        <w:t xml:space="preserve">CertPath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PrivateKeyPath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CertPass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listScope</w:t>
      </w:r>
      <w:r>
        <w:t xml:space="preserve">, подписывает его и перенаправляет пользователя на портал ЕСИА.</w:t>
      </w:r>
    </w:p>
    <w:p>
      <w:pPr>
        <w:pStyle w:val="BodyText"/>
      </w:pPr>
      <w:r>
        <w:t xml:space="preserve">Стандартная форма входа ИРБИС 128 не добавляет кнопку ЕСИА автоматически. Если пользователю нужна отдельная кнопка или ссылка</w:t>
      </w:r>
      <w:r>
        <w:t xml:space="preserve"> </w:t>
      </w:r>
      <w:r>
        <w:t xml:space="preserve">“Войти через Госуслуги”</w:t>
      </w:r>
      <w:r>
        <w:t xml:space="preserve">, добавьте в используемый шаблон или страницу ссылку на action</w:t>
      </w:r>
      <w:r>
        <w:t xml:space="preserve"> </w:t>
      </w:r>
      <w:r>
        <w:rPr>
          <w:rStyle w:val="VerbatimChar"/>
        </w:rPr>
        <w:t xml:space="preserve">Authorisation/AuthESIAInput</w:t>
      </w:r>
      <w:r>
        <w:t xml:space="preserve">.</w:t>
      </w:r>
    </w:p>
    <w:bookmarkEnd w:id="40"/>
    <w:bookmarkStart w:id="41" w:name="поиск-записи-читателя"/>
    <w:p>
      <w:pPr>
        <w:pStyle w:val="Heading3"/>
      </w:pPr>
      <w:r>
        <w:t xml:space="preserve">4. Поиск записи читателя</w:t>
      </w:r>
    </w:p>
    <w:p>
      <w:pPr>
        <w:pStyle w:val="FirstParagraph"/>
      </w:pPr>
      <w:r>
        <w:t xml:space="preserve">После возврата из ЕСИА обработчик получает данные пользователя и работает с базой читателей:</w:t>
      </w:r>
    </w:p>
    <w:p>
      <w:pPr>
        <w:pStyle w:val="Compact"/>
        <w:numPr>
          <w:ilvl w:val="0"/>
          <w:numId w:val="1011"/>
        </w:numPr>
      </w:pPr>
      <w:r>
        <w:t xml:space="preserve">Использует</w:t>
      </w:r>
      <w:r>
        <w:t xml:space="preserve"> </w:t>
      </w:r>
      <w:r>
        <w:rPr>
          <w:rStyle w:val="VerbatimChar"/>
        </w:rPr>
        <w:t xml:space="preserve">NameBDRDR</w:t>
      </w:r>
      <w:r>
        <w:t xml:space="preserve"> </w:t>
      </w:r>
      <w:r>
        <w:t xml:space="preserve">как имя базы читателей. Если параметр пустой, берется основная база читателей из системных настроек.</w:t>
      </w:r>
    </w:p>
    <w:p>
      <w:pPr>
        <w:pStyle w:val="Compact"/>
        <w:numPr>
          <w:ilvl w:val="0"/>
          <w:numId w:val="1011"/>
        </w:numPr>
      </w:pPr>
      <w:r>
        <w:t xml:space="preserve">Собирает поисковый термин из частей</w:t>
      </w:r>
      <w:r>
        <w:t xml:space="preserve"> </w:t>
      </w:r>
      <w:r>
        <w:rPr>
          <w:rStyle w:val="VerbatimChar"/>
        </w:rPr>
        <w:t xml:space="preserve">termSearh</w:t>
      </w:r>
      <w:r>
        <w:t xml:space="preserve"> </w:t>
      </w:r>
      <w:r>
        <w:t xml:space="preserve">и префикса</w:t>
      </w:r>
      <w:r>
        <w:t xml:space="preserve"> </w:t>
      </w:r>
      <w:r>
        <w:rPr>
          <w:rStyle w:val="VerbatimChar"/>
        </w:rPr>
        <w:t xml:space="preserve">PrefSearch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Ищет запись в базе читателей.</w:t>
      </w:r>
    </w:p>
    <w:p>
      <w:pPr>
        <w:pStyle w:val="Compact"/>
        <w:numPr>
          <w:ilvl w:val="0"/>
          <w:numId w:val="1011"/>
        </w:numPr>
      </w:pPr>
      <w:r>
        <w:t xml:space="preserve">Проверяет найденную запись по соответствиям из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: фамилия, имя, отчество, дата рождения и один из контактов, электронная почта или мобильный телефон.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 </w:t>
      </w:r>
      <w:r>
        <w:t xml:space="preserve">задается, в какие поля и подполя записи читателя попадают данные из</w:t>
      </w:r>
      <w:r>
        <w:t xml:space="preserve"> </w:t>
      </w:r>
      <w:r>
        <w:rPr>
          <w:rStyle w:val="VerbatimChar"/>
        </w:rPr>
        <w:t xml:space="preserve">PersonInfo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AddressInfo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СontactInfo</w:t>
      </w:r>
      <w:r>
        <w:t xml:space="preserve">. Для контактов используются типы</w:t>
      </w:r>
      <w:r>
        <w:t xml:space="preserve"> </w:t>
      </w:r>
      <w:r>
        <w:rPr>
          <w:rStyle w:val="VerbatimChar"/>
        </w:rPr>
        <w:t xml:space="preserve">EML</w:t>
      </w:r>
      <w:r>
        <w:t xml:space="preserve"> </w:t>
      </w:r>
      <w:r>
        <w:t xml:space="preserve">для электронной почты и</w:t>
      </w:r>
      <w:r>
        <w:t xml:space="preserve"> </w:t>
      </w:r>
      <w:r>
        <w:rPr>
          <w:rStyle w:val="VerbatimChar"/>
        </w:rPr>
        <w:t xml:space="preserve">MBT</w:t>
      </w:r>
      <w:r>
        <w:t xml:space="preserve"> </w:t>
      </w:r>
      <w:r>
        <w:t xml:space="preserve">для мобильного телефона.</w:t>
      </w:r>
    </w:p>
    <w:bookmarkEnd w:id="41"/>
    <w:bookmarkStart w:id="42" w:name="создание-записи-читателя"/>
    <w:p>
      <w:pPr>
        <w:pStyle w:val="Heading3"/>
      </w:pPr>
      <w:r>
        <w:t xml:space="preserve">5. Создание записи читателя</w:t>
      </w:r>
    </w:p>
    <w:p>
      <w:pPr>
        <w:pStyle w:val="FirstParagraph"/>
      </w:pPr>
      <w:r>
        <w:t xml:space="preserve">Если подходящая запись не найдена, модуль создает новую запись читателя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 заполняет ее данными ЕСИА по настройкам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.</w:t>
      </w:r>
    </w:p>
    <w:p>
      <w:pPr>
        <w:pStyle w:val="BodyText"/>
      </w:pPr>
      <w:r>
        <w:t xml:space="preserve">При создании записи также используются параметры: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genLog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modulLog</w:t>
      </w:r>
      <w:r>
        <w:t xml:space="preserve">,</w:t>
      </w:r>
      <w:r>
        <w:t xml:space="preserve"> </w:t>
      </w:r>
      <w:r>
        <w:rPr>
          <w:rStyle w:val="VerbatimChar"/>
        </w:rPr>
        <w:t xml:space="preserve">funcLog</w:t>
      </w:r>
      <w:r>
        <w:t xml:space="preserve"> </w:t>
      </w:r>
      <w:r>
        <w:t xml:space="preserve">- автоматическая генерация логина;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genPass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modulPass</w:t>
      </w:r>
      <w:r>
        <w:t xml:space="preserve">,</w:t>
      </w:r>
      <w:r>
        <w:t xml:space="preserve"> </w:t>
      </w:r>
      <w:r>
        <w:rPr>
          <w:rStyle w:val="VerbatimChar"/>
        </w:rPr>
        <w:t xml:space="preserve">funcPass</w:t>
      </w:r>
      <w:r>
        <w:t xml:space="preserve"> </w:t>
      </w:r>
      <w:r>
        <w:t xml:space="preserve">- автоматическая генерация пароля;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autorType</w:t>
      </w:r>
      <w:r>
        <w:t xml:space="preserve"> </w:t>
      </w:r>
      <w:r>
        <w:t xml:space="preserve">- тип учетных данных, под которыми пользователь войдет после ЕСИА:</w:t>
      </w:r>
      <w:r>
        <w:t xml:space="preserve"> </w:t>
      </w:r>
      <w:r>
        <w:rPr>
          <w:rStyle w:val="VerbatimChar"/>
        </w:rPr>
        <w:t xml:space="preserve">Web</w:t>
      </w:r>
      <w:r>
        <w:t xml:space="preserve"> </w:t>
      </w:r>
      <w:r>
        <w:t xml:space="preserve">для Web-ИРБИС или</w:t>
      </w:r>
      <w:r>
        <w:t xml:space="preserve"> </w:t>
      </w:r>
      <w:r>
        <w:rPr>
          <w:rStyle w:val="VerbatimChar"/>
        </w:rPr>
        <w:t xml:space="preserve">i128</w:t>
      </w:r>
      <w:r>
        <w:t xml:space="preserve"> </w:t>
      </w:r>
      <w:r>
        <w:t xml:space="preserve">для ИРБИС 128;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regEmailApply</w:t>
      </w:r>
      <w:r>
        <w:t xml:space="preserve"> </w:t>
      </w:r>
      <w:r>
        <w:t xml:space="preserve">- отправка учетных данных пользователю при создании новой записи, если подтверждение регистрации по e-mail включено в общих настройках регистрации.</w:t>
      </w:r>
    </w:p>
    <w:p>
      <w:pPr>
        <w:pStyle w:val="FirstParagraph"/>
      </w:pPr>
      <w:r>
        <w:t xml:space="preserve">Для новой и найденной записи модуль добавляет служебный SID, сохраняет запись и фиксирует событие входа через ЕСИА в поле протокола.</w:t>
      </w:r>
    </w:p>
    <w:bookmarkEnd w:id="42"/>
    <w:bookmarkStart w:id="43" w:name="вход-после-подтверждения-есиа"/>
    <w:p>
      <w:pPr>
        <w:pStyle w:val="Heading3"/>
      </w:pPr>
      <w:r>
        <w:t xml:space="preserve">6. Вход после подтверждения ЕСИА</w:t>
      </w:r>
    </w:p>
    <w:p>
      <w:pPr>
        <w:pStyle w:val="FirstParagraph"/>
      </w:pPr>
      <w:r>
        <w:t xml:space="preserve">После сопоставления записи читателя модуль выполняет обычный вход в систему:</w:t>
      </w:r>
    </w:p>
    <w:p>
      <w:pPr>
        <w:pStyle w:val="Compact"/>
        <w:numPr>
          <w:ilvl w:val="0"/>
          <w:numId w:val="1013"/>
        </w:numPr>
      </w:pPr>
      <w:r>
        <w:t xml:space="preserve">при</w:t>
      </w:r>
      <w:r>
        <w:t xml:space="preserve"> </w:t>
      </w:r>
      <w:r>
        <w:rPr>
          <w:rStyle w:val="VerbatimChar"/>
        </w:rPr>
        <w:t xml:space="preserve">autorType=Web</w:t>
      </w:r>
      <w:r>
        <w:t xml:space="preserve"> </w:t>
      </w:r>
      <w:r>
        <w:t xml:space="preserve">берет логин и пароль из полей Web-ИРБИС, заданных параметрами</w:t>
      </w:r>
      <w:r>
        <w:t xml:space="preserve"> </w:t>
      </w:r>
      <w:r>
        <w:rPr>
          <w:rStyle w:val="VerbatimChar"/>
        </w:rPr>
        <w:t xml:space="preserve">WebIrbisLogin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WebIrbisLoginPP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WebIrbisPasswd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WebIrbisPasswdPP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при</w:t>
      </w:r>
      <w:r>
        <w:t xml:space="preserve"> </w:t>
      </w:r>
      <w:r>
        <w:rPr>
          <w:rStyle w:val="VerbatimChar"/>
        </w:rPr>
        <w:t xml:space="preserve">autorType=i128</w:t>
      </w:r>
      <w:r>
        <w:t xml:space="preserve"> </w:t>
      </w:r>
      <w:r>
        <w:t xml:space="preserve">использует учетные данные ИРБИС 128 из служебного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AUTH</w:t>
      </w:r>
      <w:r>
        <w:t xml:space="preserve">.</w:t>
      </w:r>
    </w:p>
    <w:p>
      <w:pPr>
        <w:pStyle w:val="FirstParagraph"/>
      </w:pPr>
      <w:r>
        <w:t xml:space="preserve">Если учетные данные не заполнены и не генерируются автоматически, вход после успешного ответа ЕСИА не сможет завершиться. Перед публикацией ссылки на ЕСИА проверьте тестовый вход пользователя и убедитесь, что запись читателя находится или создается с ожидаемыми полями.</w:t>
      </w:r>
    </w:p>
    <w:bookmarkEnd w:id="43"/>
    <w:bookmarkEnd w:id="44"/>
    <w:bookmarkEnd w:id="4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9" Target="media/rId19.png" /><Relationship Type="http://schemas.openxmlformats.org/officeDocument/2006/relationships/image" Id="rId29" Target="media/rId29.png" /><Relationship Type="http://schemas.openxmlformats.org/officeDocument/2006/relationships/image" Id="rId32" Target="media/rId32.png" /><Relationship Type="http://schemas.openxmlformats.org/officeDocument/2006/relationships/hyperlink" Id="rId9" Target="?id=Help/Show&amp;m=Authorisation/Help/TransparentAuth" TargetMode="External" /><Relationship Type="http://schemas.openxmlformats.org/officeDocument/2006/relationships/hyperlink" Id="rId28" Target="https://vk.com/apps?act=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uthorisation/Help/TransparentAuth" TargetMode="External" /><Relationship Type="http://schemas.openxmlformats.org/officeDocument/2006/relationships/hyperlink" Id="rId28" Target="https://vk.com/apps?act=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Авторизация пользователей</dc:title>
  <dc:creator/>
  <cp:keywords/>
  <dcterms:created xsi:type="dcterms:W3CDTF">2026-10-06T06:39:32Z</dcterms:created>
  <dcterms:modified xsi:type="dcterms:W3CDTF">2026-10-06T06:39:32Z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