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обращения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жизненный-цикл-обращения"/>
    <w:p>
      <w:pPr>
        <w:pStyle w:val="Heading1"/>
      </w:pPr>
      <w:r>
        <w:t xml:space="preserve">Жизненный цикл обращения</w:t>
      </w:r>
    </w:p>
    <w:bookmarkStart w:id="9" w:name="создание"/>
    <w:p>
      <w:pPr>
        <w:pStyle w:val="Heading2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9"/>
    <w:bookmarkStart w:id="10" w:name="обработка"/>
    <w:p>
      <w:pPr>
        <w:pStyle w:val="Heading2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0"/>
    <w:bookmarkStart w:id="11" w:name="переписка"/>
    <w:p>
      <w:pPr>
        <w:pStyle w:val="Heading2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1"/>
    <w:bookmarkStart w:id="12" w:name="завершение-и-оценка"/>
    <w:p>
      <w:pPr>
        <w:pStyle w:val="Heading2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обращения</dc:title>
  <dc:creator/>
  <cp:keywords/>
  <dcterms:created xsi:type="dcterms:W3CDTF">2026-10-03T06:15:44Z</dcterms:created>
  <dcterms:modified xsi:type="dcterms:W3CDTF">2026-10-03T06:15:44Z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