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ATHRG</w:t>
      </w:r>
      <w:r>
        <w:t xml:space="preserve"> </w:t>
      </w:r>
      <w:r>
        <w:t xml:space="preserve">ведёт авторитетные записи географических названий.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 открываются через полевой редактор и применяются при контроле географических заголовков.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DBATHRG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GetATHRGNodes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географических названий.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 </w:t>
      </w:r>
      <w:r>
        <w:t xml:space="preserve">используются как контролируемый источник географических рубрик и связанных вариантов названий.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2026-10-04T05:39:31Z</dcterms:created>
  <dcterms:modified xsi:type="dcterms:W3CDTF">2026-10-04T05:39:31Z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