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Базы данных и провайдеры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базы-данных-и-провайдеры-данных"/>
    <w:p>
      <w:pPr>
        <w:pStyle w:val="Heading1"/>
      </w:pPr>
      <w:r>
        <w:t xml:space="preserve">Базы данных и провайдеры данных</w:t>
      </w:r>
    </w:p>
    <w:p>
      <w:pPr>
        <w:pStyle w:val="FirstParagraph"/>
      </w:pPr>
      <w:r>
        <w:t xml:space="preserve">Сервер приложений ИРБИС 128 работает с базами данных через провайдеры данных. Провайдер скрывает особенности конкретного источника данных и предоставляет системе единый набор операций: подключение, поиск, чтение, форматирование и запись.</w:t>
      </w:r>
    </w:p>
    <w:p>
      <w:pPr>
        <w:pStyle w:val="BodyText"/>
      </w:pPr>
      <w:r>
        <w:t xml:space="preserve">Настройка провайдера хранится отдельно от записи БД. Запись БД хранит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имя БД на подключаемом сервере - в поле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; в карточке БД эти параметры редактируются как выбор записи конфигурации и строковое поле. Сами параметры соединения находятся в отдельной записи конфигурации провайдера. Для разных типов провайдеров используются отдельные типы записей, совпадающие с модулями провайдеров: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; такие записи редактируются в АРМ как обычные typed-записи с явными полями параметров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кроме параметров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TYPE</w:t>
      </w:r>
      <w:r>
        <w:t xml:space="preserve">.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хранится в записи БД, а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вычисляется из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  <w:r>
        <w:t xml:space="preserve"> </w:t>
      </w:r>
      <w:r>
        <w:t xml:space="preserve">Создать или открыть такую запись можно 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разделе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. В этом разделе находятся кнопки управления для доступных модулей</w:t>
      </w:r>
      <w:r>
        <w:t xml:space="preserve"> </w:t>
      </w:r>
      <w:r>
        <w:rPr>
          <w:rStyle w:val="VerbatimChar"/>
        </w:rPr>
        <w:t xml:space="preserve">DP_*</w:t>
      </w:r>
      <w:r>
        <w:t xml:space="preserve">; каждая кнопка открывает список записей соответствующего типа,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</w:t>
      </w:r>
    </w:p>
    <w:p>
      <w:pPr>
        <w:pStyle w:val="BodyText"/>
      </w:pPr>
      <w:r>
        <w:t xml:space="preserve">Если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в записи БД еще не заполнено, система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БД.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секция удаляется из INI БД, а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остается пустым. Для других типов система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ищет уже существующую запись конфигурации с таким же набором параметров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; если такой записи нет, создает новую. После этого SID найденной или созданной записи записывается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удаляется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используется локальный провайдер.</w:t>
      </w:r>
    </w:p>
    <w:bookmarkStart w:id="9" w:name="типы-провайдеров"/>
    <w:p>
      <w:pPr>
        <w:pStyle w:val="Heading2"/>
      </w:pPr>
      <w:r>
        <w:t xml:space="preserve">1. Типы провайдеров</w:t>
      </w:r>
    </w:p>
    <w:p>
      <w:pPr>
        <w:pStyle w:val="FirstParagraph"/>
      </w:pPr>
      <w:r>
        <w:t xml:space="preserve">Редактор записей конфигурации провайдера поддерживает следующие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Irbis64r</w:t>
            </w:r>
          </w:p>
        </w:tc>
        <w:tc>
          <w:tcPr/>
          <w:p>
            <w:pPr>
              <w:pStyle w:val="Compact"/>
            </w:pPr>
            <w:r>
              <w:t xml:space="preserve">Подключение к TCP-серверу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jirb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jirb2</w:t>
            </w:r>
          </w:p>
        </w:tc>
        <w:tc>
          <w:tcPr/>
          <w:p>
            <w:pPr>
              <w:pStyle w:val="Compact"/>
            </w:pPr>
            <w:r>
              <w:t xml:space="preserve">Подключение к J-ИРБИС.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MarcWeb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MarcWeb2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VTLS</w:t>
            </w:r>
          </w:p>
        </w:tc>
        <w:tc>
          <w:tcPr/>
          <w:p>
            <w:pPr>
              <w:pStyle w:val="Compact"/>
            </w:pPr>
            <w:r>
              <w:t xml:space="preserve">Подключение к внешним Web-каталогам соответствующих типов.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webirb</w:t>
            </w:r>
          </w:p>
        </w:tc>
        <w:tc>
          <w:tcPr/>
          <w:p>
            <w:pPr>
              <w:pStyle w:val="Compact"/>
            </w:pPr>
            <w:r>
              <w:t xml:space="preserve">Подключение к Web-ИРБИС 32/64/64+.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</w:t>
            </w:r>
          </w:p>
        </w:tc>
        <w:tc>
          <w:tcPr/>
          <w:p>
            <w:pPr>
              <w:pStyle w:val="Compact"/>
            </w:pPr>
            <w:r>
              <w:t xml:space="preserve">Подключение к ИРБИС 64/128.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raidb0</w:t>
            </w:r>
          </w:p>
        </w:tc>
        <w:tc>
          <w:tcPr/>
          <w:p>
            <w:pPr>
              <w:pStyle w:val="Compact"/>
            </w:pPr>
            <w:r>
              <w:t xml:space="preserve">Логическое объединение нескольких БД в одну.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Локальная БД на основном сервере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EKBSON</w:t>
            </w:r>
          </w:p>
        </w:tc>
        <w:tc>
          <w:tcPr/>
          <w:p>
            <w:pPr>
              <w:pStyle w:val="Compact"/>
            </w:pPr>
            <w:r>
              <w:t xml:space="preserve">Сводная БД ИС ЭКБСОН.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z3950</w:t>
            </w:r>
          </w:p>
        </w:tc>
        <w:tc>
          <w:tcPr/>
          <w:p>
            <w:pPr>
              <w:pStyle w:val="Compact"/>
            </w:pPr>
            <w:r>
              <w:t xml:space="preserve">Подключение к серверу Z39.50.</w:t>
            </w:r>
          </w:p>
        </w:tc>
      </w:tr>
    </w:tbl>
    <w:p>
      <w:pPr>
        <w:pStyle w:val="BodyText"/>
      </w:pPr>
      <w:r>
        <w:t xml:space="preserve">При открытии БД система вычисляет</w:t>
      </w:r>
      <w:r>
        <w:t xml:space="preserve"> </w:t>
      </w:r>
      <w:r>
        <w:rPr>
          <w:rStyle w:val="VerbatimChar"/>
        </w:rPr>
        <w:t xml:space="preserve">PROVIDER.TYPE</w:t>
      </w:r>
      <w:r>
        <w:t xml:space="preserve"> </w:t>
      </w:r>
      <w:r>
        <w:t xml:space="preserve">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связанной записи конфигурации или читает его из мигрируемой секции INI БД и выбирает соответствующий модуль провайдера. Например, для типа</w:t>
      </w:r>
      <w:r>
        <w:t xml:space="preserve"> </w:t>
      </w:r>
      <w:r>
        <w:rPr>
          <w:rStyle w:val="VerbatimChar"/>
        </w:rPr>
        <w:t xml:space="preserve">webirb</w:t>
      </w:r>
      <w:r>
        <w:t xml:space="preserve"> </w:t>
      </w:r>
      <w:r>
        <w:t xml:space="preserve">используется модуль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 Тип провайдера индексируется у записи БД терминами</w:t>
      </w:r>
      <w:r>
        <w:t xml:space="preserve"> </w:t>
      </w:r>
      <w:r>
        <w:rPr>
          <w:rStyle w:val="VerbatimChar"/>
        </w:rPr>
        <w:t xml:space="preserve">DBPROVIDER=&lt;тип&gt;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DBPROVIDER.TYPE=&lt;тип&gt;</w:t>
      </w:r>
      <w:r>
        <w:t xml:space="preserve">, а сами записи конфигурации индексируются терминами</w:t>
      </w:r>
      <w:r>
        <w:t xml:space="preserve"> </w:t>
      </w:r>
      <w:r>
        <w:rPr>
          <w:rStyle w:val="VerbatimChar"/>
        </w:rPr>
        <w:t xml:space="preserve">DBPROVIDERCFG.*</w:t>
      </w:r>
      <w:r>
        <w:t xml:space="preserve">.</w:t>
      </w:r>
    </w:p>
    <w:bookmarkEnd w:id="9"/>
    <w:bookmarkStart w:id="10" w:name="общие-параметры"/>
    <w:p>
      <w:pPr>
        <w:pStyle w:val="Heading2"/>
      </w:pPr>
      <w:r>
        <w:t xml:space="preserve">2. Общие параметры</w:t>
      </w:r>
    </w:p>
    <w:p>
      <w:pPr>
        <w:pStyle w:val="FirstParagraph"/>
      </w:pPr>
      <w:r>
        <w:t xml:space="preserve">Набор полей в окне настройки зависит от типа записи провайдера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 записи конфигурации не редактируется и не хранится как отдельное поле: при формировании runtime-секции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он вычисляется из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HOST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PORT</w:t>
            </w:r>
          </w:p>
        </w:tc>
        <w:tc>
          <w:tcPr/>
          <w:p>
            <w:pPr>
              <w:pStyle w:val="Compact"/>
            </w:pPr>
            <w:r>
              <w:t xml:space="preserve">Адрес и порт подключаемого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TIMEOUT</w:t>
            </w:r>
          </w:p>
        </w:tc>
        <w:tc>
          <w:tcPr/>
          <w:p>
            <w:pPr>
              <w:pStyle w:val="Compact"/>
            </w:pPr>
            <w:r>
              <w:t xml:space="preserve">Таймаут соединения.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PW</w:t>
            </w:r>
          </w:p>
        </w:tc>
        <w:tc>
          <w:tcPr/>
          <w:p>
            <w:pPr>
              <w:pStyle w:val="Compact"/>
            </w:pPr>
            <w:r>
              <w:t xml:space="preserve">Учетные данные для провайдеров, которые поддерживают авторизацию.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Хранится в записи</w:t>
            </w:r>
            <w:r>
              <w:t xml:space="preserve"> </w:t>
            </w:r>
            <w:r>
              <w:rPr>
                <w:rStyle w:val="VerbatimChar"/>
              </w:rPr>
              <w:t xml:space="preserve">DATABASE</w:t>
            </w:r>
            <w:r>
              <w:t xml:space="preserve"> </w:t>
            </w:r>
            <w:r>
              <w:t xml:space="preserve">в поле</w:t>
            </w:r>
            <w:r>
              <w:t xml:space="preserve"> </w:t>
            </w:r>
            <w:r>
              <w:rPr>
                <w:rStyle w:val="VerbatimChar"/>
              </w:rPr>
              <w:t xml:space="preserve">221^B</w:t>
            </w:r>
            <w:r>
              <w:t xml:space="preserve"> </w:t>
            </w:r>
            <w:r>
              <w:t xml:space="preserve">и при открытии БД передается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REMOTECP</w:t>
            </w:r>
          </w:p>
        </w:tc>
        <w:tc>
          <w:tcPr/>
          <w:p>
            <w:pPr>
              <w:pStyle w:val="Compact"/>
            </w:pPr>
            <w:r>
              <w:t xml:space="preserve">Кодировка данных удаленной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PROXY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PROXYPASSWORD</w:t>
            </w:r>
          </w:p>
        </w:tc>
        <w:tc>
          <w:tcPr/>
          <w:p>
            <w:pPr>
              <w:pStyle w:val="Compact"/>
            </w:pPr>
            <w:r>
              <w:t xml:space="preserve">Параметры прокси-сервера для провайдеров, где доступ выполняется через HTTP.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Формат для разбора записей или ответа внешней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FSTINNAME</w:t>
            </w:r>
          </w:p>
        </w:tc>
        <w:tc>
          <w:tcPr/>
          <w:p>
            <w:pPr>
              <w:pStyle w:val="Compact"/>
            </w:pPr>
            <w:r>
              <w:t xml:space="preserve">Формат входных записей для провайдеров, которым нужна конвертация.</w:t>
            </w:r>
          </w:p>
        </w:tc>
      </w:tr>
    </w:tbl>
    <w:bookmarkEnd w:id="10"/>
    <w:bookmarkStart w:id="11" w:name="провайдер-raidb0"/>
    <w:p>
      <w:pPr>
        <w:pStyle w:val="Heading2"/>
      </w:pPr>
      <w:r>
        <w:t xml:space="preserve">3. Провайдер</w:t>
      </w:r>
      <w:r>
        <w:t xml:space="preserve"> </w:t>
      </w:r>
      <w:r>
        <w:rPr>
          <w:rStyle w:val="VerbatimChar"/>
        </w:rPr>
        <w:t xml:space="preserve">raidb0</w:t>
      </w:r>
    </w:p>
    <w:p>
      <w:pPr>
        <w:pStyle w:val="FirstParagraph"/>
      </w:pPr>
      <w:r>
        <w:t xml:space="preserve">Провайдер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используется, когда одну логическую БД нужно собрать из нескольких физических БД. В настройках указываются подключенные БД и вес записи в каждую из них.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SUBDBS_COUNT</w:t>
            </w:r>
          </w:p>
        </w:tc>
        <w:tc>
          <w:tcPr/>
          <w:p>
            <w:pPr>
              <w:pStyle w:val="Compact"/>
            </w:pPr>
            <w:r>
              <w:t xml:space="preserve">Количество подключенных БД. Заполняется автоматически при сохранении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SUBDBSCFG_&lt;N&gt;_NAME</w:t>
            </w:r>
          </w:p>
        </w:tc>
        <w:tc>
          <w:tcPr/>
          <w:p>
            <w:pPr>
              <w:pStyle w:val="Compact"/>
            </w:pPr>
            <w:r>
              <w:t xml:space="preserve">Имя подключенной БД с номером</w:t>
            </w:r>
            <w:r>
              <w:t xml:space="preserve"> </w:t>
            </w:r>
            <w:r>
              <w:rPr>
                <w:rStyle w:val="VerbatimChar"/>
              </w:rPr>
              <w:t xml:space="preserve">&lt;N&gt;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SUBDBSCFG_&lt;N&gt;_READWEIGHT</w:t>
            </w:r>
          </w:p>
        </w:tc>
        <w:tc>
          <w:tcPr/>
          <w:p>
            <w:pPr>
              <w:pStyle w:val="Compact"/>
            </w:pPr>
            <w:r>
              <w:t xml:space="preserve">Вес чтения из указанной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SUBDBSCFG_&lt;N&gt;_WRITEWEIGHT</w:t>
            </w:r>
          </w:p>
        </w:tc>
        <w:tc>
          <w:tcPr/>
          <w:p>
            <w:pPr>
              <w:pStyle w:val="Compact"/>
            </w:pPr>
            <w:r>
              <w:t xml:space="preserve">Вес записи в указанную БД. Используется для распределения записей между подключенными БД.</w:t>
            </w:r>
          </w:p>
        </w:tc>
      </w:tr>
    </w:tbl>
    <w:bookmarkEnd w:id="11"/>
    <w:bookmarkStart w:id="13" w:name="провайдер-z39.50"/>
    <w:p>
      <w:pPr>
        <w:pStyle w:val="Heading2"/>
      </w:pPr>
      <w:r>
        <w:t xml:space="preserve">4. Провайдер Z39.50</w:t>
      </w:r>
    </w:p>
    <w:p>
      <w:pPr>
        <w:pStyle w:val="FirstParagraph"/>
      </w:pPr>
      <w:r>
        <w:t xml:space="preserve">Для работы провайдера Z39.50 требуется PHP-модуль</w:t>
      </w:r>
      <w:r>
        <w:t xml:space="preserve"> </w:t>
      </w:r>
      <w:r>
        <w:rPr>
          <w:rStyle w:val="VerbatimChar"/>
        </w:rPr>
        <w:t xml:space="preserve">yaz</w:t>
      </w:r>
      <w:r>
        <w:t xml:space="preserve">. Это требование также зафиксировано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требований</w:t>
        </w:r>
      </w:hyperlink>
      <w:r>
        <w:t xml:space="preserve">.</w:t>
      </w:r>
    </w:p>
    <w:p>
      <w:pPr>
        <w:pStyle w:val="BodyText"/>
      </w:pPr>
      <w:r>
        <w:t xml:space="preserve">Основные параметры Z39.50: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PW</w:t>
      </w:r>
      <w:r>
        <w:t xml:space="preserve">,</w:t>
      </w:r>
      <w:r>
        <w:t xml:space="preserve"> </w:t>
      </w:r>
      <w:r>
        <w:rPr>
          <w:rStyle w:val="VerbatimChar"/>
        </w:rPr>
        <w:t xml:space="preserve">DB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REMOTECP</w:t>
      </w:r>
      <w:r>
        <w:t xml:space="preserve">,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FSTINNAME</w:t>
      </w:r>
      <w:r>
        <w:t xml:space="preserve">.</w:t>
      </w:r>
    </w:p>
    <w:bookmarkEnd w:id="13"/>
    <w:bookmarkStart w:id="16" w:name="связь-с-основным-провайдером-системы"/>
    <w:p>
      <w:pPr>
        <w:pStyle w:val="Heading2"/>
      </w:pPr>
      <w:r>
        <w:t xml:space="preserve">5. Связь с основным провайдером системы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$OPTIONS['localProvider']</w:t>
      </w:r>
      <w:r>
        <w:t xml:space="preserve"> </w:t>
      </w:r>
      <w:r>
        <w:t xml:space="preserve">задает основной провайдер данных системы. Для локального файлового доступа может использоваться нативный провайдер</w:t>
      </w:r>
      <w:r>
        <w:t xml:space="preserve"> </w:t>
      </w:r>
      <w:hyperlink r:id="rId14">
        <w:r>
          <w:rPr>
            <w:rStyle w:val="Hyperlink"/>
          </w:rPr>
          <w:t xml:space="preserve">DP_Irbis64Native</w:t>
        </w:r>
      </w:hyperlink>
      <w:r>
        <w:t xml:space="preserve">. Его текущее значение и доступные системные параметры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параметров ядра</w:t>
        </w:r>
      </w:hyperlink>
      <w:r>
        <w:t xml:space="preserve">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Базы данных и провайдеры данных</dc:title>
  <dc:creator/>
  <cp:keywords/>
  <dcterms:created xsi:type="dcterms:W3CDTF">2026-10-07T02:21:51Z</dcterms:created>
  <dcterms:modified xsi:type="dcterms:W3CDTF">2026-10-07T02:21:51Z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