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&amp;uf(’K… - Раскодировка через справочник (меню)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k---раскодировка-через-справочник-меню"/>
    <w:p>
      <w:pPr>
        <w:pStyle w:val="Heading1"/>
      </w:pPr>
      <w:r>
        <w:t xml:space="preserve">&amp;uf(’K… - Раскодировка через справочник (меню)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Раскодировка через справочник (меню)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K&lt;имя_меню&gt;\&lt;исх_значение&gt;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&lt;разделитель&gt; между &lt;имя_справочника&gt; и &lt;исх_значение&gt; может быть двух видов:</w:t>
      </w:r>
      <w:r>
        <w:t xml:space="preserve"> </w:t>
      </w:r>
      <w:r>
        <w:t xml:space="preserve">*  - раскодировка с учетом регистра,</w:t>
      </w:r>
      <w:r>
        <w:t xml:space="preserve"> </w:t>
      </w:r>
      <w:r>
        <w:t xml:space="preserve">* ! - раскодировка без учета регистра.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&amp;unifor("Kjz.mnu\"v101)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&amp;uf(’K… - Раскодировка через справочник (меню)</dc:title>
  <dc:creator/>
  <cp:keywords/>
  <dcterms:created xsi:type="dcterms:W3CDTF">2026-10-10T02:30:56Z</dcterms:created>
  <dcterms:modified xsi:type="dcterms:W3CDTF">2026-10-10T02:30:56Z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