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Каталожные разделители ИМИДЖ-каталогов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таложные-разделители-имидж-каталогов"/>
    <w:p>
      <w:pPr>
        <w:pStyle w:val="Heading1"/>
      </w:pPr>
      <w:r>
        <w:t xml:space="preserve">Каталожные разделители ИМИДЖ-каталогов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строит и хранит навигационные разделители для ИМИДЖ-каталогов.</w:t>
      </w:r>
    </w:p>
    <w:bookmarkStart w:id="11" w:name="назначение-модуля-imagenav"/>
    <w:p>
      <w:pPr>
        <w:pStyle w:val="Heading2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Каталожные разделители ИМИДЖ-каталогов</dc:title>
  <dc:creator/>
  <cp:keywords/>
  <dcterms:created xsi:type="dcterms:W3CDTF">2026-10-06T22:59:28Z</dcterms:created>
  <dcterms:modified xsi:type="dcterms:W3CDTF">2026-10-06T22:59:28Z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