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Поставщики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ставщики-ai"/>
    <w:p>
      <w:pPr>
        <w:pStyle w:val="Heading1"/>
      </w:pPr>
      <w:r>
        <w:t xml:space="preserve">Поставщики AI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хранит безопасный реестр поставщиков AI: stable key, тип provider-а, признаки локальной/внешней/offline обработки, endpoint metadata, режим авторизации, ссылку на секрет и readiness-состояние.</w:t>
      </w:r>
    </w:p>
    <w:p>
      <w:pPr>
        <w:pStyle w:val="BodyText"/>
      </w:pPr>
      <w:r>
        <w:t xml:space="preserve">Секреты в записи поставщика не хранятся. В записи указывается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 а фактическое хранение, ротация и доступность секрета принадлежат модулю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AIProvider</w:t>
      </w:r>
      <w:r>
        <w:t xml:space="preserve"> </w:t>
      </w:r>
      <w:r>
        <w:t xml:space="preserve">не вызывает модель и не выполняет AI-операции. Его задача - дать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безопасные данные для explainable routing, HealthCheck, TestA и административной диагностики.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Поставщики AI</dc:title>
  <dc:creator/>
  <cp:keywords/>
  <dcterms:created xsi:type="dcterms:W3CDTF">2026-10-03T17:01:31Z</dcterms:created>
  <dcterms:modified xsi:type="dcterms:W3CDTF">2026-10-03T17:01:31Z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