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Руководство администратора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55" w:name="руководство-администратора"/>
    <w:p>
      <w:pPr>
        <w:pStyle w:val="Heading1"/>
      </w:pPr>
      <w:r>
        <w:t xml:space="preserve">Руководство администратора</w:t>
      </w:r>
    </w:p>
    <w:p>
      <w:pPr>
        <w:pStyle w:val="FirstParagraph"/>
      </w:pPr>
      <w:r>
        <w:t xml:space="preserve">В данном руководстве описаны параметры настройки модуля «АРМ Комплектатор», доступные в АРМ «Администратор» (на вкладке «Настройки модуля»).</w:t>
      </w:r>
    </w:p>
    <w:p>
      <w:pPr>
        <w:pStyle w:val="BodyText"/>
      </w:pPr>
      <w:r>
        <w:t xml:space="preserve">Настройки сгруппированы по функциональным блокам, соответствующим основным режимам работы комплектатора:</w:t>
      </w:r>
    </w:p>
    <w:bookmarkStart w:id="14" w:name="настройка-бд"/>
    <w:p>
      <w:pPr>
        <w:pStyle w:val="Heading2"/>
      </w:pPr>
      <w:r>
        <w:t xml:space="preserve">Настройка БД</w:t>
      </w:r>
    </w:p>
    <w:p>
      <w:pPr>
        <w:pStyle w:val="FirstParagraph"/>
      </w:pPr>
      <w:r>
        <w:t xml:space="preserve">В этом разделе задаются основные базы данных и файлы меню/форматов, используемые модулем.</w:t>
      </w:r>
    </w:p>
    <w:bookmarkStart w:id="9" w:name="имя-бд-по-умолчанию-defaultdb"/>
    <w:p>
      <w:pPr>
        <w:pStyle w:val="Heading3"/>
      </w:pPr>
      <w:r>
        <w:t xml:space="preserve">1. Имя БД по умолчанию (</w:t>
      </w:r>
      <w:r>
        <w:rPr>
          <w:rStyle w:val="VerbatimChar"/>
        </w:rPr>
        <w:t xml:space="preserve">defaultdb</w:t>
      </w:r>
      <w:r>
        <w:t xml:space="preserve">)</w:t>
      </w:r>
    </w:p>
    <w:p>
      <w:pPr>
        <w:pStyle w:val="FirstParagraph"/>
      </w:pPr>
      <w:r>
        <w:t xml:space="preserve">База данных, к которой модуль обращается по умолчанию (изначальное значение берется из глобальной системной переменной</w:t>
      </w:r>
      <w:r>
        <w:t xml:space="preserve"> </w:t>
      </w:r>
      <w:r>
        <w:rPr>
          <w:rStyle w:val="VerbatimChar"/>
        </w:rPr>
        <w:t xml:space="preserve">DBCMPL</w:t>
      </w:r>
      <w:r>
        <w:t xml:space="preserve">).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Влияет на:</w:t>
      </w:r>
    </w:p>
    <w:p>
      <w:pPr>
        <w:pStyle w:val="Compact"/>
        <w:numPr>
          <w:ilvl w:val="1"/>
          <w:numId w:val="1002"/>
        </w:numPr>
      </w:pPr>
      <w:r>
        <w:t xml:space="preserve">Экшен</w:t>
      </w:r>
      <w:r>
        <w:t xml:space="preserve"> </w:t>
      </w:r>
      <w:r>
        <w:rPr>
          <w:rStyle w:val="VerbatimChar"/>
        </w:rPr>
        <w:t xml:space="preserve">ShowCheckFondForm</w:t>
      </w:r>
      <w:r>
        <w:t xml:space="preserve"> </w:t>
      </w:r>
      <w:r>
        <w:t xml:space="preserve">(Страница «Проверка фонда») — используется как резервная БД для поиска, если не задан параметр</w:t>
      </w:r>
      <w:r>
        <w:t xml:space="preserve"> </w:t>
      </w:r>
      <w:r>
        <w:rPr>
          <w:rStyle w:val="VerbatimChar"/>
        </w:rPr>
        <w:t xml:space="preserve">checkFondDatabases</w:t>
      </w:r>
      <w:r>
        <w:t xml:space="preserve">. Кроме того,</w:t>
      </w:r>
      <w:r>
        <w:t xml:space="preserve"> </w:t>
      </w:r>
      <w:r>
        <w:rPr>
          <w:b/>
          <w:bCs/>
        </w:rPr>
        <w:t xml:space="preserve">всегда</w:t>
      </w:r>
      <w:r>
        <w:t xml:space="preserve"> </w:t>
      </w:r>
      <w:r>
        <w:t xml:space="preserve">используется для получения словаря мест хранения (</w:t>
      </w:r>
      <w:r>
        <w:rPr>
          <w:rStyle w:val="VerbatimChar"/>
        </w:rPr>
        <w:t xml:space="preserve">mhr.mnu</w:t>
      </w:r>
      <w:r>
        <w:t xml:space="preserve">) для выпадающего списка в классической форме ввода.</w:t>
      </w:r>
    </w:p>
    <w:p>
      <w:pPr>
        <w:pStyle w:val="Compact"/>
        <w:numPr>
          <w:ilvl w:val="1"/>
          <w:numId w:val="1002"/>
        </w:numPr>
      </w:pPr>
      <w:r>
        <w:t xml:space="preserve">Страница</w:t>
      </w:r>
      <w:r>
        <w:t xml:space="preserve"> </w:t>
      </w:r>
      <w:r>
        <w:rPr>
          <w:rStyle w:val="VerbatimChar"/>
        </w:rPr>
        <w:t xml:space="preserve">Complectator/ProvFondReport</w:t>
      </w:r>
      <w:r>
        <w:t xml:space="preserve"> </w:t>
      </w:r>
      <w:r>
        <w:t xml:space="preserve">(«Отчет о проверке фонда») — для получения словаря</w:t>
      </w:r>
      <w:r>
        <w:t xml:space="preserve"> </w:t>
      </w:r>
      <w:r>
        <w:rPr>
          <w:rStyle w:val="VerbatimChar"/>
        </w:rPr>
        <w:t xml:space="preserve">mhr.mnu</w:t>
      </w:r>
      <w:r>
        <w:t xml:space="preserve"> </w:t>
      </w:r>
      <w:r>
        <w:t xml:space="preserve">и поиска, если не задан параметр</w:t>
      </w:r>
      <w:r>
        <w:t xml:space="preserve"> </w:t>
      </w:r>
      <w:r>
        <w:rPr>
          <w:rStyle w:val="VerbatimChar"/>
        </w:rPr>
        <w:t xml:space="preserve">checkFondDatabases</w:t>
      </w:r>
      <w:r>
        <w:t xml:space="preserve">.</w:t>
      </w:r>
    </w:p>
    <w:p>
      <w:pPr>
        <w:pStyle w:val="Compact"/>
        <w:numPr>
          <w:ilvl w:val="1"/>
          <w:numId w:val="1002"/>
        </w:numPr>
      </w:pPr>
      <w:r>
        <w:t xml:space="preserve">Экшен</w:t>
      </w:r>
      <w:r>
        <w:t xml:space="preserve"> </w:t>
      </w:r>
      <w:r>
        <w:rPr>
          <w:rStyle w:val="VerbatimChar"/>
        </w:rPr>
        <w:t xml:space="preserve">Show</w:t>
      </w:r>
      <w:r>
        <w:t xml:space="preserve"> </w:t>
      </w:r>
      <w:r>
        <w:t xml:space="preserve">— определяет базу данных, которая будет загружена при старте АРМ Комплектатор по умолчанию (передается как</w:t>
      </w:r>
      <w:r>
        <w:t xml:space="preserve"> </w:t>
      </w:r>
      <w:r>
        <w:rPr>
          <w:rStyle w:val="VerbatimChar"/>
        </w:rPr>
        <w:t xml:space="preserve">irbDb</w:t>
      </w:r>
      <w:r>
        <w:t xml:space="preserve">), а также используется для загрузки словаря этапов работы (</w:t>
      </w:r>
      <w:r>
        <w:rPr>
          <w:rStyle w:val="VerbatimChar"/>
        </w:rPr>
        <w:t xml:space="preserve">etr.mnu</w:t>
      </w:r>
      <w:r>
        <w:t xml:space="preserve">).</w:t>
      </w:r>
    </w:p>
    <w:p>
      <w:pPr>
        <w:pStyle w:val="Compact"/>
        <w:numPr>
          <w:ilvl w:val="1"/>
          <w:numId w:val="1002"/>
        </w:numPr>
      </w:pPr>
      <w:r>
        <w:t xml:space="preserve">Экшен</w:t>
      </w:r>
      <w:r>
        <w:t xml:space="preserve"> </w:t>
      </w:r>
      <w:r>
        <w:rPr>
          <w:rStyle w:val="VerbatimChar"/>
        </w:rPr>
        <w:t xml:space="preserve">GetEkp</w:t>
      </w:r>
      <w:r>
        <w:t xml:space="preserve"> </w:t>
      </w:r>
      <w:r>
        <w:t xml:space="preserve">— использует переданную при старте АРМа БД по умолчанию (</w:t>
      </w:r>
      <w:r>
        <w:rPr>
          <w:rStyle w:val="VerbatimChar"/>
        </w:rPr>
        <w:t xml:space="preserve">irbDb</w:t>
      </w:r>
      <w:r>
        <w:t xml:space="preserve">) для загрузки справочника</w:t>
      </w:r>
      <w:r>
        <w:t xml:space="preserve"> </w:t>
      </w:r>
      <w:r>
        <w:rPr>
          <w:rStyle w:val="VerbatimChar"/>
        </w:rPr>
        <w:t xml:space="preserve">DBNAM2.MNU</w:t>
      </w:r>
      <w:r>
        <w:t xml:space="preserve">, который формирует пункты меню кнопки «Выбрать БД для заимствования данных».</w:t>
      </w:r>
    </w:p>
    <w:bookmarkEnd w:id="9"/>
    <w:bookmarkStart w:id="10" w:name="имя-бд-комплектования-cmpldbn"/>
    <w:p>
      <w:pPr>
        <w:pStyle w:val="Heading3"/>
      </w:pPr>
      <w:r>
        <w:t xml:space="preserve">2. Имя БД комплектования (</w:t>
      </w:r>
      <w:r>
        <w:rPr>
          <w:rStyle w:val="VerbatimChar"/>
        </w:rPr>
        <w:t xml:space="preserve">cmpldbn</w:t>
      </w:r>
      <w:r>
        <w:t xml:space="preserve">)</w:t>
      </w:r>
    </w:p>
    <w:p>
      <w:pPr>
        <w:pStyle w:val="FirstParagraph"/>
      </w:pPr>
      <w:r>
        <w:t xml:space="preserve">База данных, используемая непосредственно для задач комплектования (обычно совпадает с БД по умолчанию, начальное значение также берется из системной переменной</w:t>
      </w:r>
      <w:r>
        <w:t xml:space="preserve"> </w:t>
      </w:r>
      <w:r>
        <w:rPr>
          <w:rStyle w:val="VerbatimChar"/>
        </w:rPr>
        <w:t xml:space="preserve">DBCMPL</w:t>
      </w:r>
      <w:r>
        <w:t xml:space="preserve">).</w:t>
      </w:r>
    </w:p>
    <w:p>
      <w:pPr>
        <w:pStyle w:val="Compact"/>
        <w:numPr>
          <w:ilvl w:val="0"/>
          <w:numId w:val="1003"/>
        </w:numPr>
      </w:pPr>
      <w:r>
        <w:rPr>
          <w:b/>
          <w:bCs/>
        </w:rPr>
        <w:t xml:space="preserve">Влияет на:</w:t>
      </w:r>
    </w:p>
    <w:p>
      <w:pPr>
        <w:pStyle w:val="Compact"/>
        <w:numPr>
          <w:ilvl w:val="1"/>
          <w:numId w:val="1004"/>
        </w:numPr>
      </w:pPr>
      <w:r>
        <w:t xml:space="preserve">Экшен</w:t>
      </w:r>
      <w:r>
        <w:t xml:space="preserve"> </w:t>
      </w:r>
      <w:r>
        <w:rPr>
          <w:rStyle w:val="VerbatimChar"/>
        </w:rPr>
        <w:t xml:space="preserve">Show</w:t>
      </w:r>
      <w:r>
        <w:t xml:space="preserve"> </w:t>
      </w:r>
      <w:r>
        <w:t xml:space="preserve">— передается в клиентский интерфейс как</w:t>
      </w:r>
      <w:r>
        <w:t xml:space="preserve"> </w:t>
      </w:r>
      <w:r>
        <w:rPr>
          <w:rStyle w:val="VerbatimChar"/>
        </w:rPr>
        <w:t xml:space="preserve">cmpldbn</w:t>
      </w:r>
      <w:r>
        <w:t xml:space="preserve"> </w:t>
      </w:r>
      <w:r>
        <w:t xml:space="preserve">и устанавливается как выбранная по умолчанию БД в выпадающем списке баз данных на главной панели.</w:t>
      </w:r>
    </w:p>
    <w:p>
      <w:pPr>
        <w:pStyle w:val="Compact"/>
        <w:numPr>
          <w:ilvl w:val="1"/>
          <w:numId w:val="1004"/>
        </w:numPr>
      </w:pPr>
      <w:r>
        <w:t xml:space="preserve">Экшен</w:t>
      </w:r>
      <w:r>
        <w:t xml:space="preserve"> </w:t>
      </w:r>
      <w:r>
        <w:rPr>
          <w:rStyle w:val="VerbatimChar"/>
        </w:rPr>
        <w:t xml:space="preserve">FillUpKsu</w:t>
      </w:r>
      <w:r>
        <w:t xml:space="preserve"> </w:t>
      </w:r>
      <w:r>
        <w:t xml:space="preserve">— используется по умолчанию, если не выбраны другие БД. Кроме того, параметр работает как переключатель логики поиска: если обрабатываемая БД совпадает с</w:t>
      </w:r>
      <w:r>
        <w:t xml:space="preserve"> </w:t>
      </w:r>
      <w:r>
        <w:rPr>
          <w:rStyle w:val="VerbatimChar"/>
        </w:rPr>
        <w:t xml:space="preserve">cmpldbn</w:t>
      </w:r>
      <w:r>
        <w:t xml:space="preserve">, система ищет записи по префиксам базы комплектования (</w:t>
      </w:r>
      <w:r>
        <w:rPr>
          <w:rStyle w:val="VerbatimChar"/>
        </w:rPr>
        <w:t xml:space="preserve">PrefKsuCmpl</w:t>
      </w:r>
      <w:r>
        <w:t xml:space="preserve">,</w:t>
      </w:r>
      <w:r>
        <w:t xml:space="preserve"> </w:t>
      </w:r>
      <w:r>
        <w:rPr>
          <w:rStyle w:val="VerbatimChar"/>
        </w:rPr>
        <w:t xml:space="preserve">PrefKsuP</w:t>
      </w:r>
      <w:r>
        <w:t xml:space="preserve"> </w:t>
      </w:r>
      <w:r>
        <w:t xml:space="preserve">и др.), если нет — используются префиксы электронного каталога (</w:t>
      </w:r>
      <w:r>
        <w:rPr>
          <w:rStyle w:val="VerbatimChar"/>
        </w:rPr>
        <w:t xml:space="preserve">PrefKsuCat</w:t>
      </w:r>
      <w:r>
        <w:t xml:space="preserve">,</w:t>
      </w:r>
      <w:r>
        <w:t xml:space="preserve"> </w:t>
      </w:r>
      <w:r>
        <w:rPr>
          <w:rStyle w:val="VerbatimChar"/>
        </w:rPr>
        <w:t xml:space="preserve">PrefKsuS</w:t>
      </w:r>
      <w:r>
        <w:t xml:space="preserve">).</w:t>
      </w:r>
    </w:p>
    <w:p>
      <w:pPr>
        <w:pStyle w:val="Compact"/>
        <w:numPr>
          <w:ilvl w:val="1"/>
          <w:numId w:val="1004"/>
        </w:numPr>
      </w:pPr>
      <w:r>
        <w:t xml:space="preserve">Экшен</w:t>
      </w:r>
      <w:r>
        <w:t xml:space="preserve"> </w:t>
      </w:r>
      <w:r>
        <w:rPr>
          <w:rStyle w:val="VerbatimChar"/>
        </w:rPr>
        <w:t xml:space="preserve">KsuToBook</w:t>
      </w:r>
      <w:r>
        <w:t xml:space="preserve"> </w:t>
      </w:r>
      <w:r>
        <w:t xml:space="preserve">— используется как резервная БД для поиска связанных записей (если список баз не был задан явно или не найден в поле 21).</w:t>
      </w:r>
    </w:p>
    <w:p>
      <w:pPr>
        <w:pStyle w:val="Compact"/>
        <w:numPr>
          <w:ilvl w:val="1"/>
          <w:numId w:val="1004"/>
        </w:numPr>
      </w:pPr>
      <w:r>
        <w:t xml:space="preserve">Экшены</w:t>
      </w:r>
      <w:r>
        <w:t xml:space="preserve"> </w:t>
      </w:r>
      <w:r>
        <w:rPr>
          <w:rStyle w:val="VerbatimChar"/>
        </w:rPr>
        <w:t xml:space="preserve">GetFillUpKsuWindow</w:t>
      </w:r>
      <w:r>
        <w:t xml:space="preserve">,</w:t>
      </w:r>
      <w:r>
        <w:t xml:space="preserve"> </w:t>
      </w:r>
      <w:r>
        <w:rPr>
          <w:rStyle w:val="VerbatimChar"/>
        </w:rPr>
        <w:t xml:space="preserve">GetPrintWindow</w:t>
      </w:r>
      <w:r>
        <w:t xml:space="preserve"> </w:t>
      </w:r>
      <w:r>
        <w:t xml:space="preserve">— используется для получения структуры доступных файлов и меню. Обратите внимание, что клиентский скрипт всегда передает</w:t>
      </w:r>
      <w:r>
        <w:t xml:space="preserve"> </w:t>
      </w:r>
      <w:r>
        <w:rPr>
          <w:rStyle w:val="VerbatimChar"/>
        </w:rPr>
        <w:t xml:space="preserve">cmpldbn</w:t>
      </w:r>
      <w:r>
        <w:t xml:space="preserve"> </w:t>
      </w:r>
      <w:r>
        <w:t xml:space="preserve">в экшен</w:t>
      </w:r>
      <w:r>
        <w:t xml:space="preserve"> </w:t>
      </w:r>
      <w:r>
        <w:rPr>
          <w:rStyle w:val="VerbatimChar"/>
        </w:rPr>
        <w:t xml:space="preserve">GetFillUpKsuWindow</w:t>
      </w:r>
      <w:r>
        <w:t xml:space="preserve"> </w:t>
      </w:r>
      <w:r>
        <w:t xml:space="preserve">в качестве БД для чтения пополняемой записи, независимо от того, какая БД открыта в интерфейсе.</w:t>
      </w:r>
    </w:p>
    <w:p>
      <w:pPr>
        <w:pStyle w:val="FirstParagraph"/>
      </w:pPr>
      <w:r>
        <w:t xml:space="preserve">@@</w:t>
      </w:r>
      <w:r>
        <w:t xml:space="preserve">@warn</w:t>
      </w:r>
      <w:r>
        <w:t xml:space="preserve"> </w:t>
      </w:r>
      <w:r>
        <w:rPr>
          <w:b/>
          <w:bCs/>
        </w:rPr>
        <w:t xml:space="preserve">Внимание:</w:t>
      </w:r>
      <w:r>
        <w:t xml:space="preserve"> </w:t>
      </w:r>
      <w:r>
        <w:t xml:space="preserve">Хотя настройка позволяет задать произвольное имя базы комплектования, в некоторых системных скриптах (например,</w:t>
      </w:r>
      <w:r>
        <w:t xml:space="preserve"> </w:t>
      </w:r>
      <w:r>
        <w:rPr>
          <w:rStyle w:val="VerbatimChar"/>
        </w:rPr>
        <w:t xml:space="preserve">KsuToBook.inc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GetPrintWindow.inc</w:t>
      </w:r>
      <w:r>
        <w:t xml:space="preserve">) присутствует жесткая проверка на совпадение с именем</w:t>
      </w:r>
      <w:r>
        <w:t xml:space="preserve"> </w:t>
      </w:r>
      <w:r>
        <w:rPr>
          <w:rStyle w:val="VerbatimChar"/>
        </w:rPr>
        <w:t xml:space="preserve">CMPL</w:t>
      </w:r>
      <w:r>
        <w:t xml:space="preserve"> </w:t>
      </w:r>
      <w:r>
        <w:t xml:space="preserve">(вместо переменной</w:t>
      </w:r>
      <w:r>
        <w:t xml:space="preserve"> </w:t>
      </w:r>
      <w:r>
        <w:rPr>
          <w:rStyle w:val="VerbatimChar"/>
        </w:rPr>
        <w:t xml:space="preserve">cmpldbn</w:t>
      </w:r>
      <w:r>
        <w:t xml:space="preserve">). Если базу переименовать, могут возникнуть ошибки с загрузкой нужных списков печатных форм и переходом по связям заказов. Рекомендуется оставлять имя базы комплектования равным</w:t>
      </w:r>
      <w:r>
        <w:t xml:space="preserve"> </w:t>
      </w:r>
      <w:r>
        <w:rPr>
          <w:rStyle w:val="VerbatimChar"/>
        </w:rPr>
        <w:t xml:space="preserve">CMPL</w:t>
      </w:r>
      <w:r>
        <w:t xml:space="preserve">.</w:t>
      </w:r>
      <w:r>
        <w:t xml:space="preserve"> </w:t>
      </w:r>
      <w:r>
        <w:t xml:space="preserve">@@@</w:t>
      </w:r>
    </w:p>
    <w:bookmarkEnd w:id="10"/>
    <w:bookmarkStart w:id="11" w:name="X378772c8d59c639a7beb2142c8d09e56c26fd46"/>
    <w:p>
      <w:pPr>
        <w:pStyle w:val="Heading3"/>
      </w:pPr>
      <w:r>
        <w:t xml:space="preserve">3. Имя файла описания выходных форм (</w:t>
      </w:r>
      <w:r>
        <w:rPr>
          <w:rStyle w:val="VerbatimChar"/>
        </w:rPr>
        <w:t xml:space="preserve">FileSelTab</w:t>
      </w:r>
      <w:r>
        <w:t xml:space="preserve">)</w:t>
      </w:r>
    </w:p>
    <w:p>
      <w:pPr>
        <w:pStyle w:val="FirstParagraph"/>
      </w:pPr>
      <w:r>
        <w:t xml:space="preserve">Имя файла описания выходных форм (по умолчанию</w:t>
      </w:r>
      <w:r>
        <w:t xml:space="preserve"> </w:t>
      </w:r>
      <w:r>
        <w:rPr>
          <w:rStyle w:val="VerbatimChar"/>
        </w:rPr>
        <w:t xml:space="preserve">seltab64.par</w:t>
      </w:r>
      <w:r>
        <w:t xml:space="preserve">).</w:t>
      </w:r>
    </w:p>
    <w:p>
      <w:pPr>
        <w:pStyle w:val="Compact"/>
        <w:numPr>
          <w:ilvl w:val="0"/>
          <w:numId w:val="1005"/>
        </w:numPr>
      </w:pPr>
      <w:r>
        <w:rPr>
          <w:b/>
          <w:bCs/>
        </w:rPr>
        <w:t xml:space="preserve">Влияет на:</w:t>
      </w:r>
      <w:r>
        <w:t xml:space="preserve"> </w:t>
      </w:r>
      <w:r>
        <w:t xml:space="preserve">Команду</w:t>
      </w:r>
      <w:r>
        <w:t xml:space="preserve"> </w:t>
      </w:r>
      <w:r>
        <w:rPr>
          <w:b/>
          <w:bCs/>
        </w:rPr>
        <w:t xml:space="preserve">Выходные формы</w:t>
      </w:r>
      <w:r>
        <w:t xml:space="preserve"> </w:t>
      </w:r>
      <w:r>
        <w:t xml:space="preserve">в списке записей АРМа «Комплектатор» и действие</w:t>
      </w:r>
      <w:r>
        <w:t xml:space="preserve"> </w:t>
      </w:r>
      <w:r>
        <w:rPr>
          <w:rStyle w:val="VerbatimChar"/>
        </w:rPr>
        <w:t xml:space="preserve">TabForms/Seltab64</w:t>
      </w:r>
      <w:r>
        <w:t xml:space="preserve">. Файл читается из базы комплектования и задает сценарии специальных печатных форм: форму с опросным листом, форму по отмеченным записям, форму с отбором по диапазону дат или простую выходную форму. Если файл не найден или в нем нет выбранной формы, окно печати не сможет подготовить параметры вывода.</w:t>
      </w:r>
    </w:p>
    <w:bookmarkEnd w:id="11"/>
    <w:bookmarkStart w:id="12" w:name="имя-файла-бд-каталога-dbname3"/>
    <w:p>
      <w:pPr>
        <w:pStyle w:val="Heading3"/>
      </w:pPr>
      <w:r>
        <w:t xml:space="preserve">4. Имя файла БД каталога (</w:t>
      </w:r>
      <w:r>
        <w:rPr>
          <w:rStyle w:val="VerbatimChar"/>
        </w:rPr>
        <w:t xml:space="preserve">Dbname3</w:t>
      </w:r>
      <w:r>
        <w:t xml:space="preserve">)</w:t>
      </w:r>
    </w:p>
    <w:p>
      <w:pPr>
        <w:pStyle w:val="FirstParagraph"/>
      </w:pPr>
      <w:r>
        <w:t xml:space="preserve">Имя файла-справочника баз данных каталога (по умолчанию</w:t>
      </w:r>
      <w:r>
        <w:t xml:space="preserve"> </w:t>
      </w:r>
      <w:r>
        <w:rPr>
          <w:rStyle w:val="VerbatimChar"/>
        </w:rPr>
        <w:t xml:space="preserve">dbnam3.mnu</w:t>
      </w:r>
      <w:r>
        <w:t xml:space="preserve">).</w:t>
      </w:r>
    </w:p>
    <w:p>
      <w:pPr>
        <w:pStyle w:val="Compact"/>
        <w:numPr>
          <w:ilvl w:val="0"/>
          <w:numId w:val="1006"/>
        </w:numPr>
      </w:pPr>
      <w:r>
        <w:rPr>
          <w:b/>
          <w:bCs/>
        </w:rPr>
        <w:t xml:space="preserve">Влияет на:</w:t>
      </w:r>
    </w:p>
    <w:p>
      <w:pPr>
        <w:pStyle w:val="Compact"/>
        <w:numPr>
          <w:ilvl w:val="1"/>
          <w:numId w:val="1007"/>
        </w:numPr>
      </w:pPr>
      <w:r>
        <w:t xml:space="preserve">Экшен</w:t>
      </w:r>
      <w:r>
        <w:t xml:space="preserve"> </w:t>
      </w:r>
      <w:r>
        <w:rPr>
          <w:rStyle w:val="VerbatimChar"/>
        </w:rPr>
        <w:t xml:space="preserve">FillUpKsu</w:t>
      </w:r>
      <w:r>
        <w:t xml:space="preserve"> </w:t>
      </w:r>
      <w:r>
        <w:t xml:space="preserve">— чтение списка доступных БД, по которым будет выполняться сбор статистики. Если ни одна БД из справочника не была отмечена пользователем, статистика собирается по базе</w:t>
      </w:r>
      <w:r>
        <w:t xml:space="preserve"> </w:t>
      </w:r>
      <w:r>
        <w:rPr>
          <w:rStyle w:val="VerbatimChar"/>
        </w:rPr>
        <w:t xml:space="preserve">cmpldbn</w:t>
      </w:r>
      <w:r>
        <w:t xml:space="preserve">.</w:t>
      </w:r>
    </w:p>
    <w:p>
      <w:pPr>
        <w:pStyle w:val="Compact"/>
        <w:numPr>
          <w:ilvl w:val="1"/>
          <w:numId w:val="1007"/>
        </w:numPr>
      </w:pPr>
      <w:r>
        <w:t xml:space="preserve">Экшен</w:t>
      </w:r>
      <w:r>
        <w:t xml:space="preserve"> </w:t>
      </w:r>
      <w:r>
        <w:rPr>
          <w:rStyle w:val="VerbatimChar"/>
        </w:rPr>
        <w:t xml:space="preserve">GetFillUpKsuWindow</w:t>
      </w:r>
      <w:r>
        <w:t xml:space="preserve"> </w:t>
      </w:r>
      <w:r>
        <w:t xml:space="preserve">— формирование чекбоксов для выбора баз данных в интерфейсе.</w:t>
      </w:r>
    </w:p>
    <w:p>
      <w:pPr>
        <w:pStyle w:val="Compact"/>
        <w:numPr>
          <w:ilvl w:val="1"/>
          <w:numId w:val="1007"/>
        </w:numPr>
      </w:pPr>
      <w:r>
        <w:t xml:space="preserve">Экшен</w:t>
      </w:r>
      <w:r>
        <w:t xml:space="preserve"> </w:t>
      </w:r>
      <w:r>
        <w:rPr>
          <w:rStyle w:val="VerbatimChar"/>
        </w:rPr>
        <w:t xml:space="preserve">KsuToBook</w:t>
      </w:r>
      <w:r>
        <w:t xml:space="preserve"> </w:t>
      </w:r>
      <w:r>
        <w:t xml:space="preserve">— получение списка БД для формирования связи. Если в записи заказа/КСУ отсутствует поле 21 (список баз данных), система проверяет, были ли переданы из интерфейса базы, перечисленные в этом справочнике.</w:t>
      </w:r>
    </w:p>
    <w:bookmarkEnd w:id="12"/>
    <w:bookmarkStart w:id="13" w:name="X2a65b0b395c80dc9856ebaa08f6be3e89c9263f"/>
    <w:p>
      <w:pPr>
        <w:pStyle w:val="Heading3"/>
      </w:pPr>
      <w:r>
        <w:t xml:space="preserve">5. Имя файла глобальной корректировки (</w:t>
      </w:r>
      <w:r>
        <w:rPr>
          <w:rStyle w:val="VerbatimChar"/>
        </w:rPr>
        <w:t xml:space="preserve">StatKsuGbl</w:t>
      </w:r>
      <w:r>
        <w:t xml:space="preserve">)</w:t>
      </w:r>
    </w:p>
    <w:p>
      <w:pPr>
        <w:pStyle w:val="FirstParagraph"/>
      </w:pPr>
      <w:r>
        <w:t xml:space="preserve">Имя файла глобальной корректировки, выполняющейся перед пополнением КСУ и суммарного заказа (по умолчанию</w:t>
      </w:r>
      <w:r>
        <w:t xml:space="preserve"> </w:t>
      </w:r>
      <w:r>
        <w:rPr>
          <w:rStyle w:val="VerbatimChar"/>
        </w:rPr>
        <w:t xml:space="preserve">StatKsu.Gbl</w:t>
      </w:r>
      <w:r>
        <w:t xml:space="preserve">).</w:t>
      </w:r>
    </w:p>
    <w:p>
      <w:pPr>
        <w:pStyle w:val="Compact"/>
        <w:numPr>
          <w:ilvl w:val="0"/>
          <w:numId w:val="1008"/>
        </w:numPr>
      </w:pPr>
      <w:r>
        <w:rPr>
          <w:b/>
          <w:bCs/>
        </w:rPr>
        <w:t xml:space="preserve">Влияет на:</w:t>
      </w:r>
      <w:r>
        <w:t xml:space="preserve"> </w:t>
      </w:r>
      <w:r>
        <w:t xml:space="preserve">Процессы запуска глобальных корректировок перед подведением итогов поступлений.</w:t>
      </w:r>
    </w:p>
    <w:bookmarkEnd w:id="13"/>
    <w:bookmarkEnd w:id="14"/>
    <w:bookmarkStart w:id="21" w:name="настройка-режима-поступления"/>
    <w:p>
      <w:pPr>
        <w:pStyle w:val="Heading2"/>
      </w:pPr>
      <w:r>
        <w:t xml:space="preserve">Настройка режима поступления</w:t>
      </w:r>
    </w:p>
    <w:p>
      <w:pPr>
        <w:pStyle w:val="FirstParagraph"/>
      </w:pPr>
      <w:r>
        <w:t xml:space="preserve">Определяет параметры поиска и пополнения для КСУ поступления.</w:t>
      </w:r>
    </w:p>
    <w:bookmarkStart w:id="15" w:name="Xf6b30bcd14b9fcd69aae075d8e482ca7a472b1d"/>
    <w:p>
      <w:pPr>
        <w:pStyle w:val="Heading3"/>
      </w:pPr>
      <w:r>
        <w:t xml:space="preserve">1. Префикс для поиска записей КСУ поступления в БД CMPL (</w:t>
      </w:r>
      <w:r>
        <w:rPr>
          <w:rStyle w:val="VerbatimChar"/>
        </w:rPr>
        <w:t xml:space="preserve">PrefKsuCmpl</w:t>
      </w:r>
      <w:r>
        <w:t xml:space="preserve">)</w:t>
      </w:r>
    </w:p>
    <w:p>
      <w:pPr>
        <w:pStyle w:val="FirstParagraph"/>
      </w:pPr>
      <w:r>
        <w:t xml:space="preserve">Префикс для отбора записей КСУ поступлений в базе комплектования.</w:t>
      </w:r>
    </w:p>
    <w:p>
      <w:pPr>
        <w:pStyle w:val="Compact"/>
        <w:numPr>
          <w:ilvl w:val="0"/>
          <w:numId w:val="1009"/>
        </w:numPr>
      </w:pPr>
      <w:r>
        <w:rPr>
          <w:b/>
          <w:bCs/>
        </w:rPr>
        <w:t xml:space="preserve">Влияет на:</w:t>
      </w:r>
    </w:p>
    <w:p>
      <w:pPr>
        <w:pStyle w:val="Compact"/>
        <w:numPr>
          <w:ilvl w:val="1"/>
          <w:numId w:val="1010"/>
        </w:numPr>
      </w:pPr>
      <w:r>
        <w:t xml:space="preserve">Экшен</w:t>
      </w:r>
      <w:r>
        <w:t xml:space="preserve"> </w:t>
      </w:r>
      <w:r>
        <w:rPr>
          <w:rStyle w:val="VerbatimChar"/>
        </w:rPr>
        <w:t xml:space="preserve">FillUpKsu</w:t>
      </w:r>
      <w:r>
        <w:t xml:space="preserve"> </w:t>
      </w:r>
      <w:r>
        <w:t xml:space="preserve">— используется при пополнении итоговой КСУ на дату (</w:t>
      </w:r>
      <w:r>
        <w:rPr>
          <w:rStyle w:val="VerbatimChar"/>
        </w:rPr>
        <w:t xml:space="preserve">KSI</w:t>
      </w:r>
      <w:r>
        <w:t xml:space="preserve">) и за период (</w:t>
      </w:r>
      <w:r>
        <w:rPr>
          <w:rStyle w:val="VerbatimChar"/>
        </w:rPr>
        <w:t xml:space="preserve">KSFP</w:t>
      </w:r>
      <w:r>
        <w:t xml:space="preserve">), для подсчета суммарных значений.</w:t>
      </w:r>
    </w:p>
    <w:p>
      <w:pPr>
        <w:pStyle w:val="Compact"/>
        <w:numPr>
          <w:ilvl w:val="1"/>
          <w:numId w:val="1010"/>
        </w:numPr>
      </w:pPr>
      <w:r>
        <w:t xml:space="preserve">Экшен</w:t>
      </w:r>
      <w:r>
        <w:t xml:space="preserve"> </w:t>
      </w:r>
      <w:r>
        <w:rPr>
          <w:rStyle w:val="VerbatimChar"/>
        </w:rPr>
        <w:t xml:space="preserve">KsuToBook</w:t>
      </w:r>
      <w:r>
        <w:t xml:space="preserve"> </w:t>
      </w:r>
      <w:r>
        <w:t xml:space="preserve">— поиск и отображение связанных записей КСУ поступления (переход по связи).</w:t>
      </w:r>
    </w:p>
    <w:bookmarkEnd w:id="15"/>
    <w:bookmarkStart w:id="16" w:name="X92efbfc830dce20024b52710270eeb64ae44783"/>
    <w:p>
      <w:pPr>
        <w:pStyle w:val="Heading3"/>
      </w:pPr>
      <w:r>
        <w:t xml:space="preserve">2. Префикс для поиска записей из CMPL соответствующих заданному КСУ поступления (</w:t>
      </w:r>
      <w:r>
        <w:rPr>
          <w:rStyle w:val="VerbatimChar"/>
        </w:rPr>
        <w:t xml:space="preserve">PrefKsuP</w:t>
      </w:r>
      <w:r>
        <w:t xml:space="preserve">)</w:t>
      </w:r>
    </w:p>
    <w:p>
      <w:pPr>
        <w:pStyle w:val="FirstParagraph"/>
      </w:pPr>
      <w:r>
        <w:t xml:space="preserve">Префикс для поиска отдельных поступлений в базе комплектования.</w:t>
      </w:r>
    </w:p>
    <w:p>
      <w:pPr>
        <w:pStyle w:val="Compact"/>
        <w:numPr>
          <w:ilvl w:val="0"/>
          <w:numId w:val="1011"/>
        </w:numPr>
      </w:pPr>
      <w:r>
        <w:rPr>
          <w:b/>
          <w:bCs/>
        </w:rPr>
        <w:t xml:space="preserve">Влияет на:</w:t>
      </w:r>
    </w:p>
    <w:p>
      <w:pPr>
        <w:pStyle w:val="Compact"/>
        <w:numPr>
          <w:ilvl w:val="1"/>
          <w:numId w:val="1012"/>
        </w:numPr>
      </w:pPr>
      <w:r>
        <w:t xml:space="preserve">Экшен</w:t>
      </w:r>
      <w:r>
        <w:t xml:space="preserve"> </w:t>
      </w:r>
      <w:r>
        <w:rPr>
          <w:rStyle w:val="VerbatimChar"/>
        </w:rPr>
        <w:t xml:space="preserve">FillUpKsu</w:t>
      </w:r>
      <w:r>
        <w:t xml:space="preserve"> </w:t>
      </w:r>
      <w:r>
        <w:t xml:space="preserve">— для поиска записей, связанных с КСУ поступления (тип</w:t>
      </w:r>
      <w:r>
        <w:t xml:space="preserve"> </w:t>
      </w:r>
      <w:r>
        <w:rPr>
          <w:rStyle w:val="VerbatimChar"/>
        </w:rPr>
        <w:t xml:space="preserve">KSU</w:t>
      </w:r>
      <w:r>
        <w:t xml:space="preserve">), если обновление идет в БД CMPL.</w:t>
      </w:r>
    </w:p>
    <w:p>
      <w:pPr>
        <w:pStyle w:val="Compact"/>
        <w:numPr>
          <w:ilvl w:val="1"/>
          <w:numId w:val="1012"/>
        </w:numPr>
      </w:pPr>
      <w:r>
        <w:t xml:space="preserve">Экшен</w:t>
      </w:r>
      <w:r>
        <w:t xml:space="preserve"> </w:t>
      </w:r>
      <w:r>
        <w:rPr>
          <w:rStyle w:val="VerbatimChar"/>
        </w:rPr>
        <w:t xml:space="preserve">KsuToBook</w:t>
      </w:r>
      <w:r>
        <w:t xml:space="preserve"> </w:t>
      </w:r>
      <w:r>
        <w:t xml:space="preserve">— формирование поискового запроса для связи, если выбрана БД CMPL.</w:t>
      </w:r>
    </w:p>
    <w:bookmarkEnd w:id="16"/>
    <w:bookmarkStart w:id="17" w:name="Xac46c469567e0fe160f95d0ab73b326d2000b2c"/>
    <w:p>
      <w:pPr>
        <w:pStyle w:val="Heading3"/>
      </w:pPr>
      <w:r>
        <w:t xml:space="preserve">3. Префикс для поиска записей из ЭК соответствующих заданному КСУ поступления (</w:t>
      </w:r>
      <w:r>
        <w:rPr>
          <w:rStyle w:val="VerbatimChar"/>
        </w:rPr>
        <w:t xml:space="preserve">PrefKsuCat</w:t>
      </w:r>
      <w:r>
        <w:t xml:space="preserve">)</w:t>
      </w:r>
    </w:p>
    <w:p>
      <w:pPr>
        <w:pStyle w:val="FirstParagraph"/>
      </w:pPr>
      <w:r>
        <w:t xml:space="preserve">Префикс для поиска записей в электронном каталоге, привязанных к КСУ поступления.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Влияет на:</w:t>
      </w:r>
    </w:p>
    <w:p>
      <w:pPr>
        <w:pStyle w:val="Compact"/>
        <w:numPr>
          <w:ilvl w:val="1"/>
          <w:numId w:val="1014"/>
        </w:numPr>
      </w:pPr>
      <w:r>
        <w:t xml:space="preserve">Экшен</w:t>
      </w:r>
      <w:r>
        <w:t xml:space="preserve"> </w:t>
      </w:r>
      <w:r>
        <w:rPr>
          <w:rStyle w:val="VerbatimChar"/>
        </w:rPr>
        <w:t xml:space="preserve">FillUpKsu</w:t>
      </w:r>
      <w:r>
        <w:t xml:space="preserve"> </w:t>
      </w:r>
      <w:r>
        <w:t xml:space="preserve">— для поиска экземпляров поступления (тип</w:t>
      </w:r>
      <w:r>
        <w:t xml:space="preserve"> </w:t>
      </w:r>
      <w:r>
        <w:rPr>
          <w:rStyle w:val="VerbatimChar"/>
        </w:rPr>
        <w:t xml:space="preserve">KSU</w:t>
      </w:r>
      <w:r>
        <w:t xml:space="preserve">) в БД электронного каталога при пересчете КСУ.</w:t>
      </w:r>
    </w:p>
    <w:p>
      <w:pPr>
        <w:pStyle w:val="Compact"/>
        <w:numPr>
          <w:ilvl w:val="1"/>
          <w:numId w:val="1014"/>
        </w:numPr>
      </w:pPr>
      <w:r>
        <w:t xml:space="preserve">Экшен</w:t>
      </w:r>
      <w:r>
        <w:t xml:space="preserve"> </w:t>
      </w:r>
      <w:r>
        <w:rPr>
          <w:rStyle w:val="VerbatimChar"/>
        </w:rPr>
        <w:t xml:space="preserve">KsuToBook</w:t>
      </w:r>
      <w:r>
        <w:t xml:space="preserve"> </w:t>
      </w:r>
      <w:r>
        <w:t xml:space="preserve">— переход по связи из записи КСУ к библиографическим записям в электронном каталоге.</w:t>
      </w:r>
    </w:p>
    <w:bookmarkEnd w:id="17"/>
    <w:bookmarkStart w:id="18" w:name="Xac4452239e92b948b2c3ff1cd376e9747ed1332"/>
    <w:p>
      <w:pPr>
        <w:pStyle w:val="Heading3"/>
      </w:pPr>
      <w:r>
        <w:t xml:space="preserve">4. Таблица при пополнении записи КСУ поступления (</w:t>
      </w:r>
      <w:r>
        <w:rPr>
          <w:rStyle w:val="VerbatimChar"/>
        </w:rPr>
        <w:t xml:space="preserve">KsuFst1</w:t>
      </w:r>
      <w:r>
        <w:t xml:space="preserve">)</w:t>
      </w:r>
    </w:p>
    <w:p>
      <w:pPr>
        <w:pStyle w:val="FirstParagraph"/>
      </w:pPr>
      <w:r>
        <w:t xml:space="preserve">Имя FST-файла с алгоритмами для пополнения записи КСУ поступления.</w:t>
      </w:r>
    </w:p>
    <w:p>
      <w:pPr>
        <w:pStyle w:val="Compact"/>
        <w:numPr>
          <w:ilvl w:val="0"/>
          <w:numId w:val="1015"/>
        </w:numPr>
      </w:pPr>
      <w:r>
        <w:rPr>
          <w:b/>
          <w:bCs/>
        </w:rPr>
        <w:t xml:space="preserve">Влияет на:</w:t>
      </w:r>
      <w:r>
        <w:t xml:space="preserve"> </w:t>
      </w:r>
      <w:r>
        <w:t xml:space="preserve">Экшен</w:t>
      </w:r>
      <w:r>
        <w:t xml:space="preserve"> </w:t>
      </w:r>
      <w:r>
        <w:rPr>
          <w:rStyle w:val="VerbatimChar"/>
        </w:rPr>
        <w:t xml:space="preserve">FillUpKsu</w:t>
      </w:r>
      <w:r>
        <w:t xml:space="preserve"> </w:t>
      </w:r>
      <w:r>
        <w:t xml:space="preserve">— применяется к записям типа</w:t>
      </w:r>
      <w:r>
        <w:t xml:space="preserve"> </w:t>
      </w:r>
      <w:r>
        <w:rPr>
          <w:rStyle w:val="VerbatimChar"/>
        </w:rPr>
        <w:t xml:space="preserve">KSU</w:t>
      </w:r>
      <w:r>
        <w:t xml:space="preserve"> </w:t>
      </w:r>
      <w:r>
        <w:t xml:space="preserve">для подсчета сумм, количеств и других показателей.</w:t>
      </w:r>
    </w:p>
    <w:bookmarkEnd w:id="18"/>
    <w:bookmarkStart w:id="19" w:name="X0b7d1f4f60901149711945a078c039ace037596"/>
    <w:p>
      <w:pPr>
        <w:pStyle w:val="Heading3"/>
      </w:pPr>
      <w:r>
        <w:t xml:space="preserve">5. Имя списка табличных форм в режиме поступления БД CMPL (</w:t>
      </w:r>
      <w:r>
        <w:rPr>
          <w:rStyle w:val="VerbatimChar"/>
        </w:rPr>
        <w:t xml:space="preserve">TabMnuForR</w:t>
      </w:r>
      <w:r>
        <w:t xml:space="preserve">)</w:t>
      </w:r>
    </w:p>
    <w:p>
      <w:pPr>
        <w:pStyle w:val="FirstParagraph"/>
      </w:pPr>
      <w:r>
        <w:t xml:space="preserve">Имя справочника (например,</w:t>
      </w:r>
      <w:r>
        <w:t xml:space="preserve"> </w:t>
      </w:r>
      <w:r>
        <w:rPr>
          <w:rStyle w:val="VerbatimChar"/>
        </w:rPr>
        <w:t xml:space="preserve">tabprw.mnu</w:t>
      </w:r>
      <w:r>
        <w:t xml:space="preserve">), содержащего список печатных форм поступлений.</w:t>
      </w:r>
    </w:p>
    <w:p>
      <w:pPr>
        <w:pStyle w:val="Compact"/>
        <w:numPr>
          <w:ilvl w:val="0"/>
          <w:numId w:val="1016"/>
        </w:numPr>
      </w:pPr>
      <w:r>
        <w:rPr>
          <w:b/>
          <w:bCs/>
        </w:rPr>
        <w:t xml:space="preserve">Влияет на:</w:t>
      </w:r>
      <w:r>
        <w:t xml:space="preserve"> </w:t>
      </w:r>
      <w:r>
        <w:t xml:space="preserve">Экшен</w:t>
      </w:r>
      <w:r>
        <w:t xml:space="preserve"> </w:t>
      </w:r>
      <w:r>
        <w:rPr>
          <w:rStyle w:val="VerbatimChar"/>
        </w:rPr>
        <w:t xml:space="preserve">GetPrintWindow</w:t>
      </w:r>
      <w:r>
        <w:t xml:space="preserve"> </w:t>
      </w:r>
      <w:r>
        <w:t xml:space="preserve">— формирование списка выходных форм в узле</w:t>
      </w:r>
      <w:r>
        <w:t xml:space="preserve"> </w:t>
      </w:r>
      <w:r>
        <w:t xml:space="preserve">“Поступление”</w:t>
      </w:r>
      <w:r>
        <w:t xml:space="preserve">, когда выбрана база CMPL.</w:t>
      </w:r>
    </w:p>
    <w:bookmarkEnd w:id="19"/>
    <w:bookmarkStart w:id="20" w:name="X6d20bb25ca3e9a5f96ada9e85ee1552949dfe73"/>
    <w:p>
      <w:pPr>
        <w:pStyle w:val="Heading3"/>
      </w:pPr>
      <w:r>
        <w:t xml:space="preserve">6. Имя списка табличных форм в режиме поступления для БД каталога (</w:t>
      </w:r>
      <w:r>
        <w:rPr>
          <w:rStyle w:val="VerbatimChar"/>
        </w:rPr>
        <w:t xml:space="preserve">TabMnuForCat</w:t>
      </w:r>
      <w:r>
        <w:t xml:space="preserve">)</w:t>
      </w:r>
    </w:p>
    <w:p>
      <w:pPr>
        <w:pStyle w:val="FirstParagraph"/>
      </w:pPr>
      <w:r>
        <w:t xml:space="preserve">Имя справочника (например,</w:t>
      </w:r>
      <w:r>
        <w:t xml:space="preserve"> </w:t>
      </w:r>
      <w:r>
        <w:rPr>
          <w:rStyle w:val="VerbatimChar"/>
        </w:rPr>
        <w:t xml:space="preserve">tabpw.mnu</w:t>
      </w:r>
      <w:r>
        <w:t xml:space="preserve">), содержащего список печатных форм для электронного каталога.</w:t>
      </w:r>
    </w:p>
    <w:p>
      <w:pPr>
        <w:pStyle w:val="Compact"/>
        <w:numPr>
          <w:ilvl w:val="0"/>
          <w:numId w:val="1017"/>
        </w:numPr>
      </w:pPr>
      <w:r>
        <w:rPr>
          <w:b/>
          <w:bCs/>
        </w:rPr>
        <w:t xml:space="preserve">Влияет на:</w:t>
      </w:r>
      <w:r>
        <w:t xml:space="preserve"> </w:t>
      </w:r>
      <w:r>
        <w:t xml:space="preserve">Экшен</w:t>
      </w:r>
      <w:r>
        <w:t xml:space="preserve"> </w:t>
      </w:r>
      <w:r>
        <w:rPr>
          <w:rStyle w:val="VerbatimChar"/>
        </w:rPr>
        <w:t xml:space="preserve">GetPrintWindow</w:t>
      </w:r>
      <w:r>
        <w:t xml:space="preserve"> </w:t>
      </w:r>
      <w:r>
        <w:t xml:space="preserve">— формирование списка выходных форм в узле</w:t>
      </w:r>
      <w:r>
        <w:t xml:space="preserve"> </w:t>
      </w:r>
      <w:r>
        <w:t xml:space="preserve">“Поступление”</w:t>
      </w:r>
      <w:r>
        <w:t xml:space="preserve">, когда выбрана база отличная от CMPL.</w:t>
      </w:r>
    </w:p>
    <w:bookmarkEnd w:id="20"/>
    <w:bookmarkEnd w:id="21"/>
    <w:bookmarkStart w:id="27" w:name="настройка-режима-выбытия"/>
    <w:p>
      <w:pPr>
        <w:pStyle w:val="Heading2"/>
      </w:pPr>
      <w:r>
        <w:t xml:space="preserve">Настройка режима выбытия</w:t>
      </w:r>
    </w:p>
    <w:p>
      <w:pPr>
        <w:pStyle w:val="FirstParagraph"/>
      </w:pPr>
      <w:r>
        <w:t xml:space="preserve">Определяет параметры поиска и пополнения для КСУ выбытия (списания).</w:t>
      </w:r>
    </w:p>
    <w:bookmarkStart w:id="22" w:name="Xa6f44d8de174d26d8babcc0cef73ddb2de682ed"/>
    <w:p>
      <w:pPr>
        <w:pStyle w:val="Heading3"/>
      </w:pPr>
      <w:r>
        <w:t xml:space="preserve">1. Префикс для поиска записей КСУ выбытия в БД CMPL (</w:t>
      </w:r>
      <w:r>
        <w:rPr>
          <w:rStyle w:val="VerbatimChar"/>
        </w:rPr>
        <w:t xml:space="preserve">PrefKs2Cmpl</w:t>
      </w:r>
      <w:r>
        <w:t xml:space="preserve">)</w:t>
      </w:r>
    </w:p>
    <w:p>
      <w:pPr>
        <w:pStyle w:val="FirstParagraph"/>
      </w:pPr>
      <w:r>
        <w:t xml:space="preserve">Префикс для отбора записей КСУ выбытия в базе комплектования.</w:t>
      </w:r>
    </w:p>
    <w:p>
      <w:pPr>
        <w:pStyle w:val="Compact"/>
        <w:numPr>
          <w:ilvl w:val="0"/>
          <w:numId w:val="1018"/>
        </w:numPr>
      </w:pPr>
      <w:r>
        <w:rPr>
          <w:b/>
          <w:bCs/>
        </w:rPr>
        <w:t xml:space="preserve">Влияет на:</w:t>
      </w:r>
    </w:p>
    <w:p>
      <w:pPr>
        <w:pStyle w:val="Compact"/>
        <w:numPr>
          <w:ilvl w:val="1"/>
          <w:numId w:val="1019"/>
        </w:numPr>
      </w:pPr>
      <w:r>
        <w:t xml:space="preserve">Экшен</w:t>
      </w:r>
      <w:r>
        <w:t xml:space="preserve"> </w:t>
      </w:r>
      <w:r>
        <w:rPr>
          <w:rStyle w:val="VerbatimChar"/>
        </w:rPr>
        <w:t xml:space="preserve">FillUpKsu</w:t>
      </w:r>
      <w:r>
        <w:t xml:space="preserve"> </w:t>
      </w:r>
      <w:r>
        <w:t xml:space="preserve">— применяется при пополнении итоговых КСУ на дату (</w:t>
      </w:r>
      <w:r>
        <w:rPr>
          <w:rStyle w:val="VerbatimChar"/>
        </w:rPr>
        <w:t xml:space="preserve">KSI</w:t>
      </w:r>
      <w:r>
        <w:t xml:space="preserve">) и за период (</w:t>
      </w:r>
      <w:r>
        <w:rPr>
          <w:rStyle w:val="VerbatimChar"/>
        </w:rPr>
        <w:t xml:space="preserve">KSFS</w:t>
      </w:r>
      <w:r>
        <w:t xml:space="preserve">) для подсчета данных о выбытии.</w:t>
      </w:r>
    </w:p>
    <w:p>
      <w:pPr>
        <w:pStyle w:val="Compact"/>
        <w:numPr>
          <w:ilvl w:val="1"/>
          <w:numId w:val="1019"/>
        </w:numPr>
      </w:pPr>
      <w:r>
        <w:t xml:space="preserve">Экшен</w:t>
      </w:r>
      <w:r>
        <w:t xml:space="preserve"> </w:t>
      </w:r>
      <w:r>
        <w:rPr>
          <w:rStyle w:val="VerbatimChar"/>
        </w:rPr>
        <w:t xml:space="preserve">KsuToBook</w:t>
      </w:r>
      <w:r>
        <w:t xml:space="preserve"> </w:t>
      </w:r>
      <w:r>
        <w:t xml:space="preserve">— построение связи для перехода от книги/акта к записям КСУ выбытия.</w:t>
      </w:r>
    </w:p>
    <w:bookmarkEnd w:id="22"/>
    <w:bookmarkStart w:id="23" w:name="Xea3c57e8ac68a9e0c588a0634ec077b3f783e73"/>
    <w:p>
      <w:pPr>
        <w:pStyle w:val="Heading3"/>
      </w:pPr>
      <w:r>
        <w:t xml:space="preserve">2. Префикс для поиска записей из ЭК соответствующих заданному КСУ выбытия (</w:t>
      </w:r>
      <w:r>
        <w:rPr>
          <w:rStyle w:val="VerbatimChar"/>
        </w:rPr>
        <w:t xml:space="preserve">PrefKsuS</w:t>
      </w:r>
      <w:r>
        <w:t xml:space="preserve">)</w:t>
      </w:r>
    </w:p>
    <w:p>
      <w:pPr>
        <w:pStyle w:val="FirstParagraph"/>
      </w:pPr>
      <w:r>
        <w:t xml:space="preserve">Префикс для поиска списанных экземпляров в базах электронного каталога.</w:t>
      </w:r>
    </w:p>
    <w:p>
      <w:pPr>
        <w:pStyle w:val="Compact"/>
        <w:numPr>
          <w:ilvl w:val="0"/>
          <w:numId w:val="1020"/>
        </w:numPr>
      </w:pPr>
      <w:r>
        <w:rPr>
          <w:b/>
          <w:bCs/>
        </w:rPr>
        <w:t xml:space="preserve">Влияет на:</w:t>
      </w:r>
    </w:p>
    <w:p>
      <w:pPr>
        <w:pStyle w:val="Compact"/>
        <w:numPr>
          <w:ilvl w:val="1"/>
          <w:numId w:val="1021"/>
        </w:numPr>
      </w:pPr>
      <w:r>
        <w:t xml:space="preserve">Экшен</w:t>
      </w:r>
      <w:r>
        <w:t xml:space="preserve"> </w:t>
      </w:r>
      <w:r>
        <w:rPr>
          <w:rStyle w:val="VerbatimChar"/>
        </w:rPr>
        <w:t xml:space="preserve">FillUpKsu</w:t>
      </w:r>
      <w:r>
        <w:t xml:space="preserve"> </w:t>
      </w:r>
      <w:r>
        <w:t xml:space="preserve">— поиск выбывших экземпляров (связанных с актом типа</w:t>
      </w:r>
      <w:r>
        <w:t xml:space="preserve"> </w:t>
      </w:r>
      <w:r>
        <w:rPr>
          <w:rStyle w:val="VerbatimChar"/>
        </w:rPr>
        <w:t xml:space="preserve">KS2</w:t>
      </w:r>
      <w:r>
        <w:t xml:space="preserve">) в электронном каталоге при пополнении акта списания.</w:t>
      </w:r>
    </w:p>
    <w:p>
      <w:pPr>
        <w:pStyle w:val="Compact"/>
        <w:numPr>
          <w:ilvl w:val="1"/>
          <w:numId w:val="1021"/>
        </w:numPr>
      </w:pPr>
      <w:r>
        <w:t xml:space="preserve">Экшен</w:t>
      </w:r>
      <w:r>
        <w:t xml:space="preserve"> </w:t>
      </w:r>
      <w:r>
        <w:rPr>
          <w:rStyle w:val="VerbatimChar"/>
        </w:rPr>
        <w:t xml:space="preserve">KsuToBook</w:t>
      </w:r>
      <w:r>
        <w:t xml:space="preserve"> </w:t>
      </w:r>
      <w:r>
        <w:t xml:space="preserve">— отображение связанных библиографических записей в электронном каталоге для акта списания.</w:t>
      </w:r>
    </w:p>
    <w:bookmarkEnd w:id="23"/>
    <w:bookmarkStart w:id="24" w:name="Xe6b0cf1a47a11836db75dade258bb814b444473"/>
    <w:p>
      <w:pPr>
        <w:pStyle w:val="Heading3"/>
      </w:pPr>
      <w:r>
        <w:t xml:space="preserve">3. Таблица при пополнении записи КСУ выбытия (</w:t>
      </w:r>
      <w:r>
        <w:rPr>
          <w:rStyle w:val="VerbatimChar"/>
        </w:rPr>
        <w:t xml:space="preserve">KsuFst2</w:t>
      </w:r>
      <w:r>
        <w:t xml:space="preserve">)</w:t>
      </w:r>
    </w:p>
    <w:p>
      <w:pPr>
        <w:pStyle w:val="FirstParagraph"/>
      </w:pPr>
      <w:r>
        <w:t xml:space="preserve">Имя FST-файла с алгоритмами пополнения записи акта выбытия.</w:t>
      </w:r>
    </w:p>
    <w:p>
      <w:pPr>
        <w:pStyle w:val="Compact"/>
        <w:numPr>
          <w:ilvl w:val="0"/>
          <w:numId w:val="1022"/>
        </w:numPr>
      </w:pPr>
      <w:r>
        <w:rPr>
          <w:b/>
          <w:bCs/>
        </w:rPr>
        <w:t xml:space="preserve">Влияет на:</w:t>
      </w:r>
      <w:r>
        <w:t xml:space="preserve"> </w:t>
      </w:r>
      <w:r>
        <w:t xml:space="preserve">Экшен</w:t>
      </w:r>
      <w:r>
        <w:t xml:space="preserve"> </w:t>
      </w:r>
      <w:r>
        <w:rPr>
          <w:rStyle w:val="VerbatimChar"/>
        </w:rPr>
        <w:t xml:space="preserve">FillUpKsu</w:t>
      </w:r>
      <w:r>
        <w:t xml:space="preserve"> </w:t>
      </w:r>
      <w:r>
        <w:t xml:space="preserve">— расчет количественных и суммовых показателей для записей типа</w:t>
      </w:r>
      <w:r>
        <w:t xml:space="preserve"> </w:t>
      </w:r>
      <w:r>
        <w:rPr>
          <w:rStyle w:val="VerbatimChar"/>
        </w:rPr>
        <w:t xml:space="preserve">KS2</w:t>
      </w:r>
      <w:r>
        <w:t xml:space="preserve"> </w:t>
      </w:r>
      <w:r>
        <w:t xml:space="preserve">по формулам из FST-файла.</w:t>
      </w:r>
    </w:p>
    <w:bookmarkEnd w:id="24"/>
    <w:bookmarkStart w:id="25" w:name="X77bb45ddba75e1dffff337f0b06dfb4648c3f96"/>
    <w:p>
      <w:pPr>
        <w:pStyle w:val="Heading3"/>
      </w:pPr>
      <w:r>
        <w:t xml:space="preserve">4. Имя списка табличных форм в режиме выбытия для БД каталога (</w:t>
      </w:r>
      <w:r>
        <w:rPr>
          <w:rStyle w:val="VerbatimChar"/>
        </w:rPr>
        <w:t xml:space="preserve">TabMnuForSIBIS</w:t>
      </w:r>
      <w:r>
        <w:t xml:space="preserve">)</w:t>
      </w:r>
    </w:p>
    <w:p>
      <w:pPr>
        <w:pStyle w:val="FirstParagraph"/>
      </w:pPr>
      <w:r>
        <w:t xml:space="preserve">Имя MNU-справочника печатных форм выбытия при работе с электронным каталогом (по умолчанию</w:t>
      </w:r>
      <w:r>
        <w:t xml:space="preserve"> </w:t>
      </w:r>
      <w:r>
        <w:rPr>
          <w:rStyle w:val="VerbatimChar"/>
        </w:rPr>
        <w:t xml:space="preserve">tabpsw.mnu</w:t>
      </w:r>
      <w:r>
        <w:t xml:space="preserve">).</w:t>
      </w:r>
    </w:p>
    <w:p>
      <w:pPr>
        <w:pStyle w:val="Compact"/>
        <w:numPr>
          <w:ilvl w:val="0"/>
          <w:numId w:val="1023"/>
        </w:numPr>
      </w:pPr>
      <w:r>
        <w:rPr>
          <w:b/>
          <w:bCs/>
        </w:rPr>
        <w:t xml:space="preserve">Влияет на:</w:t>
      </w:r>
      <w:r>
        <w:t xml:space="preserve"> </w:t>
      </w:r>
      <w:r>
        <w:t xml:space="preserve">Экшен</w:t>
      </w:r>
      <w:r>
        <w:t xml:space="preserve"> </w:t>
      </w:r>
      <w:r>
        <w:rPr>
          <w:rStyle w:val="VerbatimChar"/>
        </w:rPr>
        <w:t xml:space="preserve">GetPrintWindow</w:t>
      </w:r>
      <w:r>
        <w:t xml:space="preserve"> </w:t>
      </w:r>
      <w:r>
        <w:t xml:space="preserve">— вывод ветки форм</w:t>
      </w:r>
      <w:r>
        <w:t xml:space="preserve"> </w:t>
      </w:r>
      <w:r>
        <w:t xml:space="preserve">“Выбытие”</w:t>
      </w:r>
      <w:r>
        <w:t xml:space="preserve"> </w:t>
      </w:r>
      <w:r>
        <w:t xml:space="preserve">при выбранной базе каталога.</w:t>
      </w:r>
    </w:p>
    <w:bookmarkEnd w:id="25"/>
    <w:bookmarkStart w:id="26" w:name="Xa0e8bae4452d5750e46e96ab88a617dd43a8bea"/>
    <w:p>
      <w:pPr>
        <w:pStyle w:val="Heading3"/>
      </w:pPr>
      <w:r>
        <w:t xml:space="preserve">5. Имя списка табличных форм в режиме выбытия для БД CMPL (</w:t>
      </w:r>
      <w:r>
        <w:rPr>
          <w:rStyle w:val="VerbatimChar"/>
        </w:rPr>
        <w:t xml:space="preserve">TabMnuForSCMPL</w:t>
      </w:r>
      <w:r>
        <w:t xml:space="preserve">)</w:t>
      </w:r>
    </w:p>
    <w:p>
      <w:pPr>
        <w:pStyle w:val="FirstParagraph"/>
      </w:pPr>
      <w:r>
        <w:t xml:space="preserve">Имя MNU-справочника печатных форм выбытия при работе с базой комплектования (по умолчанию</w:t>
      </w:r>
      <w:r>
        <w:t xml:space="preserve"> </w:t>
      </w:r>
      <w:r>
        <w:rPr>
          <w:rStyle w:val="VerbatimChar"/>
        </w:rPr>
        <w:t xml:space="preserve">tabpcw.mnu</w:t>
      </w:r>
      <w:r>
        <w:t xml:space="preserve">).</w:t>
      </w:r>
    </w:p>
    <w:p>
      <w:pPr>
        <w:pStyle w:val="Compact"/>
        <w:numPr>
          <w:ilvl w:val="0"/>
          <w:numId w:val="1024"/>
        </w:numPr>
      </w:pPr>
      <w:r>
        <w:rPr>
          <w:b/>
          <w:bCs/>
        </w:rPr>
        <w:t xml:space="preserve">Влияет на:</w:t>
      </w:r>
      <w:r>
        <w:t xml:space="preserve"> </w:t>
      </w:r>
      <w:r>
        <w:t xml:space="preserve">Экшен</w:t>
      </w:r>
      <w:r>
        <w:t xml:space="preserve"> </w:t>
      </w:r>
      <w:r>
        <w:rPr>
          <w:rStyle w:val="VerbatimChar"/>
        </w:rPr>
        <w:t xml:space="preserve">GetPrintWindow</w:t>
      </w:r>
      <w:r>
        <w:t xml:space="preserve"> </w:t>
      </w:r>
      <w:r>
        <w:t xml:space="preserve">— вывод ветки форм</w:t>
      </w:r>
      <w:r>
        <w:t xml:space="preserve"> </w:t>
      </w:r>
      <w:r>
        <w:t xml:space="preserve">“Выбытие”</w:t>
      </w:r>
      <w:r>
        <w:t xml:space="preserve"> </w:t>
      </w:r>
      <w:r>
        <w:t xml:space="preserve">при выбранной базе CMPL.</w:t>
      </w:r>
    </w:p>
    <w:bookmarkEnd w:id="26"/>
    <w:bookmarkEnd w:id="27"/>
    <w:bookmarkStart w:id="32" w:name="настройка-режима-заказа"/>
    <w:p>
      <w:pPr>
        <w:pStyle w:val="Heading2"/>
      </w:pPr>
      <w:r>
        <w:t xml:space="preserve">Настройка режима заказа</w:t>
      </w:r>
    </w:p>
    <w:p>
      <w:pPr>
        <w:pStyle w:val="FirstParagraph"/>
      </w:pPr>
      <w:r>
        <w:t xml:space="preserve">Управление параметрами работы с заказами на новые издания.</w:t>
      </w:r>
    </w:p>
    <w:bookmarkStart w:id="28" w:name="X73f6393ece3900a75e6a72bdc656c99ac295045"/>
    <w:p>
      <w:pPr>
        <w:pStyle w:val="Heading3"/>
      </w:pPr>
      <w:r>
        <w:t xml:space="preserve">1. Префикс для поиска итоговой записи заказа в БД CMPL (</w:t>
      </w:r>
      <w:r>
        <w:rPr>
          <w:rStyle w:val="VerbatimChar"/>
        </w:rPr>
        <w:t xml:space="preserve">PrefSumZak</w:t>
      </w:r>
      <w:r>
        <w:t xml:space="preserve">)</w:t>
      </w:r>
    </w:p>
    <w:p>
      <w:pPr>
        <w:pStyle w:val="FirstParagraph"/>
      </w:pPr>
      <w:r>
        <w:t xml:space="preserve">Префикс для поиска итоговой записи заказа в базе комплектования.</w:t>
      </w:r>
    </w:p>
    <w:p>
      <w:pPr>
        <w:pStyle w:val="Compact"/>
        <w:numPr>
          <w:ilvl w:val="0"/>
          <w:numId w:val="1025"/>
        </w:numPr>
      </w:pPr>
      <w:r>
        <w:rPr>
          <w:b/>
          <w:bCs/>
        </w:rPr>
        <w:t xml:space="preserve">Влияет на:</w:t>
      </w:r>
      <w:r>
        <w:t xml:space="preserve"> </w:t>
      </w:r>
      <w:r>
        <w:t xml:space="preserve">Экшен</w:t>
      </w:r>
      <w:r>
        <w:t xml:space="preserve"> </w:t>
      </w:r>
      <w:r>
        <w:rPr>
          <w:rStyle w:val="VerbatimChar"/>
        </w:rPr>
        <w:t xml:space="preserve">KsuToBook</w:t>
      </w:r>
      <w:r>
        <w:t xml:space="preserve"> </w:t>
      </w:r>
      <w:r>
        <w:t xml:space="preserve">— формирование поисковых запросов для поиска связанных записей суммарного заказа.</w:t>
      </w:r>
    </w:p>
    <w:bookmarkEnd w:id="28"/>
    <w:bookmarkStart w:id="29" w:name="Xd773baba0c285e9e620cbbc59a6f55ca0870c38"/>
    <w:p>
      <w:pPr>
        <w:pStyle w:val="Heading3"/>
      </w:pPr>
      <w:r>
        <w:t xml:space="preserve">2. Префикс для поиска записей заказа для пополнения итоговой записи заказа (</w:t>
      </w:r>
      <w:r>
        <w:rPr>
          <w:rStyle w:val="VerbatimChar"/>
        </w:rPr>
        <w:t xml:space="preserve">PrefKsuZ</w:t>
      </w:r>
      <w:r>
        <w:t xml:space="preserve">)</w:t>
      </w:r>
    </w:p>
    <w:p>
      <w:pPr>
        <w:pStyle w:val="FirstParagraph"/>
      </w:pPr>
      <w:r>
        <w:t xml:space="preserve">Префикс для отбора записей, которые будут использоваться при пересчете и пополнении суммарного заказа.</w:t>
      </w:r>
    </w:p>
    <w:p>
      <w:pPr>
        <w:pStyle w:val="Compact"/>
        <w:numPr>
          <w:ilvl w:val="0"/>
          <w:numId w:val="1026"/>
        </w:numPr>
      </w:pPr>
      <w:r>
        <w:rPr>
          <w:b/>
          <w:bCs/>
        </w:rPr>
        <w:t xml:space="preserve">Влияет на:</w:t>
      </w:r>
    </w:p>
    <w:p>
      <w:pPr>
        <w:pStyle w:val="Compact"/>
        <w:numPr>
          <w:ilvl w:val="1"/>
          <w:numId w:val="1027"/>
        </w:numPr>
      </w:pPr>
      <w:r>
        <w:t xml:space="preserve">Экшен</w:t>
      </w:r>
      <w:r>
        <w:t xml:space="preserve"> </w:t>
      </w:r>
      <w:r>
        <w:rPr>
          <w:rStyle w:val="VerbatimChar"/>
        </w:rPr>
        <w:t xml:space="preserve">FillUpKsu</w:t>
      </w:r>
      <w:r>
        <w:t xml:space="preserve"> </w:t>
      </w:r>
      <w:r>
        <w:t xml:space="preserve">— поиск записей для пополнения итоговой записи заказа (если тип записи</w:t>
      </w:r>
      <w:r>
        <w:t xml:space="preserve"> </w:t>
      </w:r>
      <w:r>
        <w:rPr>
          <w:rStyle w:val="VerbatimChar"/>
        </w:rPr>
        <w:t xml:space="preserve">SZ</w:t>
      </w:r>
      <w:r>
        <w:t xml:space="preserve">).</w:t>
      </w:r>
    </w:p>
    <w:p>
      <w:pPr>
        <w:pStyle w:val="Compact"/>
        <w:numPr>
          <w:ilvl w:val="1"/>
          <w:numId w:val="1027"/>
        </w:numPr>
      </w:pPr>
      <w:r>
        <w:t xml:space="preserve">Экшен</w:t>
      </w:r>
      <w:r>
        <w:t xml:space="preserve"> </w:t>
      </w:r>
      <w:r>
        <w:rPr>
          <w:rStyle w:val="VerbatimChar"/>
        </w:rPr>
        <w:t xml:space="preserve">KsuToBook</w:t>
      </w:r>
      <w:r>
        <w:t xml:space="preserve"> </w:t>
      </w:r>
      <w:r>
        <w:t xml:space="preserve">— формирование связи и перехода к записям заказов.</w:t>
      </w:r>
    </w:p>
    <w:bookmarkEnd w:id="29"/>
    <w:bookmarkStart w:id="30" w:name="Xb336ae8bdd0a776f18f0f33d2cb45a358dec668"/>
    <w:p>
      <w:pPr>
        <w:pStyle w:val="Heading3"/>
      </w:pPr>
      <w:r>
        <w:t xml:space="preserve">3. Таблица при пополнении итоговой записи заказа (</w:t>
      </w:r>
      <w:r>
        <w:rPr>
          <w:rStyle w:val="VerbatimChar"/>
        </w:rPr>
        <w:t xml:space="preserve">KsuFst4</w:t>
      </w:r>
      <w:r>
        <w:t xml:space="preserve">)</w:t>
      </w:r>
    </w:p>
    <w:p>
      <w:pPr>
        <w:pStyle w:val="FirstParagraph"/>
      </w:pPr>
      <w:r>
        <w:t xml:space="preserve">Имя FST-файла, который используется для вычисления значений при пополнении суммарного заказа.</w:t>
      </w:r>
    </w:p>
    <w:p>
      <w:pPr>
        <w:pStyle w:val="Compact"/>
        <w:numPr>
          <w:ilvl w:val="0"/>
          <w:numId w:val="1028"/>
        </w:numPr>
      </w:pPr>
      <w:r>
        <w:rPr>
          <w:b/>
          <w:bCs/>
        </w:rPr>
        <w:t xml:space="preserve">Влияет на:</w:t>
      </w:r>
      <w:r>
        <w:t xml:space="preserve"> </w:t>
      </w:r>
      <w:r>
        <w:t xml:space="preserve">Экшен</w:t>
      </w:r>
      <w:r>
        <w:t xml:space="preserve"> </w:t>
      </w:r>
      <w:r>
        <w:rPr>
          <w:rStyle w:val="VerbatimChar"/>
        </w:rPr>
        <w:t xml:space="preserve">FillUpKsu</w:t>
      </w:r>
      <w:r>
        <w:t xml:space="preserve"> </w:t>
      </w:r>
      <w:r>
        <w:t xml:space="preserve">— загрузка правил пересчета (форматов) из данного FST файла для типа записи</w:t>
      </w:r>
      <w:r>
        <w:t xml:space="preserve"> </w:t>
      </w:r>
      <w:r>
        <w:rPr>
          <w:rStyle w:val="VerbatimChar"/>
        </w:rPr>
        <w:t xml:space="preserve">SZ</w:t>
      </w:r>
      <w:r>
        <w:t xml:space="preserve">.</w:t>
      </w:r>
    </w:p>
    <w:bookmarkEnd w:id="30"/>
    <w:bookmarkStart w:id="31" w:name="Xf0b8674669e9975045568cef7a60e132745302c"/>
    <w:p>
      <w:pPr>
        <w:pStyle w:val="Heading3"/>
      </w:pPr>
      <w:r>
        <w:t xml:space="preserve">4. Имя списка табличных форм в режиме заказа (</w:t>
      </w:r>
      <w:r>
        <w:rPr>
          <w:rStyle w:val="VerbatimChar"/>
        </w:rPr>
        <w:t xml:space="preserve">TabMnuForZ</w:t>
      </w:r>
      <w:r>
        <w:t xml:space="preserve">)</w:t>
      </w:r>
    </w:p>
    <w:p>
      <w:pPr>
        <w:pStyle w:val="FirstParagraph"/>
      </w:pPr>
      <w:r>
        <w:t xml:space="preserve">Имя MNU-справочника (по умолчанию</w:t>
      </w:r>
      <w:r>
        <w:t xml:space="preserve"> </w:t>
      </w:r>
      <w:r>
        <w:rPr>
          <w:rStyle w:val="VerbatimChar"/>
        </w:rPr>
        <w:t xml:space="preserve">tabpzw.mnu</w:t>
      </w:r>
      <w:r>
        <w:t xml:space="preserve">), в котором перечислены доступные выходные формы для печати из режима</w:t>
      </w:r>
      <w:r>
        <w:t xml:space="preserve"> </w:t>
      </w:r>
      <w:r>
        <w:t xml:space="preserve">“Заказ”</w:t>
      </w:r>
      <w:r>
        <w:t xml:space="preserve">.</w:t>
      </w:r>
    </w:p>
    <w:p>
      <w:pPr>
        <w:pStyle w:val="Compact"/>
        <w:numPr>
          <w:ilvl w:val="0"/>
          <w:numId w:val="1029"/>
        </w:numPr>
      </w:pPr>
      <w:r>
        <w:rPr>
          <w:b/>
          <w:bCs/>
        </w:rPr>
        <w:t xml:space="preserve">Влияет на:</w:t>
      </w:r>
      <w:r>
        <w:t xml:space="preserve"> </w:t>
      </w:r>
      <w:r>
        <w:t xml:space="preserve">Экшен</w:t>
      </w:r>
      <w:r>
        <w:t xml:space="preserve"> </w:t>
      </w:r>
      <w:r>
        <w:rPr>
          <w:rStyle w:val="VerbatimChar"/>
        </w:rPr>
        <w:t xml:space="preserve">GetPrintWindow</w:t>
      </w:r>
      <w:r>
        <w:t xml:space="preserve"> </w:t>
      </w:r>
      <w:r>
        <w:t xml:space="preserve">— вывод ветки</w:t>
      </w:r>
      <w:r>
        <w:t xml:space="preserve"> </w:t>
      </w:r>
      <w:r>
        <w:t xml:space="preserve">“Заказ”</w:t>
      </w:r>
      <w:r>
        <w:t xml:space="preserve"> </w:t>
      </w:r>
      <w:r>
        <w:t xml:space="preserve">со списком печатных форм для БД CMPL или БД каталога.</w:t>
      </w:r>
    </w:p>
    <w:bookmarkEnd w:id="31"/>
    <w:bookmarkEnd w:id="32"/>
    <w:bookmarkStart w:id="35" w:name="настройка-режима-пополнения-итоговой-ксу"/>
    <w:p>
      <w:pPr>
        <w:pStyle w:val="Heading2"/>
      </w:pPr>
      <w:r>
        <w:t xml:space="preserve">Настройка режима пополнения Итоговой КСУ</w:t>
      </w:r>
    </w:p>
    <w:p>
      <w:pPr>
        <w:pStyle w:val="FirstParagraph"/>
      </w:pPr>
      <w:r>
        <w:t xml:space="preserve">Определяет параметры пересчета итоговых документов КСУ.</w:t>
      </w:r>
    </w:p>
    <w:bookmarkStart w:id="33" w:name="Xa63a69e29ac15f97d4e6ea2715ce5064a368e54"/>
    <w:p>
      <w:pPr>
        <w:pStyle w:val="Heading3"/>
      </w:pPr>
      <w:r>
        <w:t xml:space="preserve">1. Таблица пополнения ИТОГОВОЙ КСУ до заданной даты по БД CMPL (</w:t>
      </w:r>
      <w:r>
        <w:rPr>
          <w:rStyle w:val="VerbatimChar"/>
        </w:rPr>
        <w:t xml:space="preserve">KsuFstItog</w:t>
      </w:r>
      <w:r>
        <w:t xml:space="preserve">)</w:t>
      </w:r>
    </w:p>
    <w:p>
      <w:pPr>
        <w:pStyle w:val="FirstParagraph"/>
      </w:pPr>
      <w:r>
        <w:t xml:space="preserve">Имя FST-файла, применяемого для расчета показателей итоговой КСУ.</w:t>
      </w:r>
    </w:p>
    <w:p>
      <w:pPr>
        <w:pStyle w:val="Compact"/>
        <w:numPr>
          <w:ilvl w:val="0"/>
          <w:numId w:val="1030"/>
        </w:numPr>
      </w:pPr>
      <w:r>
        <w:rPr>
          <w:b/>
          <w:bCs/>
        </w:rPr>
        <w:t xml:space="preserve">Влияет на:</w:t>
      </w:r>
      <w:r>
        <w:t xml:space="preserve"> </w:t>
      </w:r>
      <w:r>
        <w:t xml:space="preserve">Экшен</w:t>
      </w:r>
      <w:r>
        <w:t xml:space="preserve"> </w:t>
      </w:r>
      <w:r>
        <w:rPr>
          <w:rStyle w:val="VerbatimChar"/>
        </w:rPr>
        <w:t xml:space="preserve">FillUpKsu</w:t>
      </w:r>
      <w:r>
        <w:t xml:space="preserve"> </w:t>
      </w:r>
      <w:r>
        <w:t xml:space="preserve">— загружается при пополнении записи типа</w:t>
      </w:r>
      <w:r>
        <w:t xml:space="preserve"> </w:t>
      </w:r>
      <w:r>
        <w:rPr>
          <w:rStyle w:val="VerbatimChar"/>
        </w:rPr>
        <w:t xml:space="preserve">KSI</w:t>
      </w:r>
      <w:r>
        <w:t xml:space="preserve"> </w:t>
      </w:r>
      <w:r>
        <w:t xml:space="preserve">(итоговая КСУ на дату). Содержит форматы вычислений (сумма, максимум, количество уникальных и т.д.).</w:t>
      </w:r>
    </w:p>
    <w:bookmarkEnd w:id="33"/>
    <w:bookmarkStart w:id="34" w:name="Xf2e180a6440f1252337d780b12266729b2f8ef9"/>
    <w:p>
      <w:pPr>
        <w:pStyle w:val="Heading3"/>
      </w:pPr>
      <w:r>
        <w:t xml:space="preserve">2. Таблица пополнения ИТОГОВОЙ записи КСУ выбытия и поступления за период (</w:t>
      </w:r>
      <w:r>
        <w:rPr>
          <w:rStyle w:val="VerbatimChar"/>
        </w:rPr>
        <w:t xml:space="preserve">KsuFst2Fond</w:t>
      </w:r>
      <w:r>
        <w:t xml:space="preserve">)</w:t>
      </w:r>
    </w:p>
    <w:p>
      <w:pPr>
        <w:pStyle w:val="FirstParagraph"/>
      </w:pPr>
      <w:r>
        <w:t xml:space="preserve">Имя FST-файла, применяемого для расчета итоговых КСУ выбытия и поступления за определенный промежуток времени.</w:t>
      </w:r>
    </w:p>
    <w:p>
      <w:pPr>
        <w:pStyle w:val="Compact"/>
        <w:numPr>
          <w:ilvl w:val="0"/>
          <w:numId w:val="1031"/>
        </w:numPr>
      </w:pPr>
      <w:r>
        <w:rPr>
          <w:b/>
          <w:bCs/>
        </w:rPr>
        <w:t xml:space="preserve">Влияет на:</w:t>
      </w:r>
      <w:r>
        <w:t xml:space="preserve"> </w:t>
      </w:r>
      <w:r>
        <w:t xml:space="preserve">Экшен</w:t>
      </w:r>
      <w:r>
        <w:t xml:space="preserve"> </w:t>
      </w:r>
      <w:r>
        <w:rPr>
          <w:rStyle w:val="VerbatimChar"/>
        </w:rPr>
        <w:t xml:space="preserve">FillUpKsu</w:t>
      </w:r>
      <w:r>
        <w:t xml:space="preserve"> </w:t>
      </w:r>
      <w:r>
        <w:t xml:space="preserve">— используется при пополнении записей типа</w:t>
      </w:r>
      <w:r>
        <w:t xml:space="preserve"> </w:t>
      </w:r>
      <w:r>
        <w:rPr>
          <w:rStyle w:val="VerbatimChar"/>
        </w:rPr>
        <w:t xml:space="preserve">KSFP</w:t>
      </w:r>
      <w:r>
        <w:t xml:space="preserve"> </w:t>
      </w:r>
      <w:r>
        <w:t xml:space="preserve">(итоговая поступления) и</w:t>
      </w:r>
      <w:r>
        <w:t xml:space="preserve"> </w:t>
      </w:r>
      <w:r>
        <w:rPr>
          <w:rStyle w:val="VerbatimChar"/>
        </w:rPr>
        <w:t xml:space="preserve">KSFS</w:t>
      </w:r>
      <w:r>
        <w:t xml:space="preserve"> </w:t>
      </w:r>
      <w:r>
        <w:t xml:space="preserve">(итоговая выбытия).</w:t>
      </w:r>
    </w:p>
    <w:bookmarkEnd w:id="34"/>
    <w:bookmarkEnd w:id="35"/>
    <w:bookmarkStart w:id="54" w:name="настройка-формы-проверки-фонда"/>
    <w:p>
      <w:pPr>
        <w:pStyle w:val="Heading2"/>
      </w:pPr>
      <w:r>
        <w:t xml:space="preserve">Настройка формы проверки фонда</w:t>
      </w:r>
    </w:p>
    <w:p>
      <w:pPr>
        <w:pStyle w:val="FirstParagraph"/>
      </w:pPr>
      <w:r>
        <w:t xml:space="preserve">Специальный блок для конфигурации сервиса инвентаризации («Проверка фонда»).</w:t>
      </w:r>
    </w:p>
    <w:bookmarkStart w:id="36" w:name="Xd24da70ce6d77964d4ec2bd62d42654fe8e51a2"/>
    <w:p>
      <w:pPr>
        <w:pStyle w:val="Heading3"/>
      </w:pPr>
      <w:r>
        <w:t xml:space="preserve">1. БД по которым проводить проверку фонда (</w:t>
      </w:r>
      <w:r>
        <w:rPr>
          <w:rStyle w:val="VerbatimChar"/>
        </w:rPr>
        <w:t xml:space="preserve">checkFondDatabases</w:t>
      </w:r>
      <w:r>
        <w:t xml:space="preserve">)</w:t>
      </w:r>
    </w:p>
    <w:p>
      <w:pPr>
        <w:pStyle w:val="FirstParagraph"/>
      </w:pPr>
      <w:r>
        <w:t xml:space="preserve">Позволяет ограничить инвентаризацию конкретными базами каталога.</w:t>
      </w:r>
    </w:p>
    <w:p>
      <w:pPr>
        <w:pStyle w:val="Compact"/>
        <w:numPr>
          <w:ilvl w:val="0"/>
          <w:numId w:val="1032"/>
        </w:numPr>
      </w:pPr>
      <w:r>
        <w:rPr>
          <w:b/>
          <w:bCs/>
        </w:rPr>
        <w:t xml:space="preserve">Влияет на:</w:t>
      </w:r>
    </w:p>
    <w:p>
      <w:pPr>
        <w:pStyle w:val="Compact"/>
        <w:numPr>
          <w:ilvl w:val="1"/>
          <w:numId w:val="1033"/>
        </w:numPr>
      </w:pPr>
      <w:r>
        <w:t xml:space="preserve">Экшен</w:t>
      </w:r>
      <w:r>
        <w:t xml:space="preserve"> </w:t>
      </w:r>
      <w:r>
        <w:rPr>
          <w:rStyle w:val="VerbatimChar"/>
        </w:rPr>
        <w:t xml:space="preserve">ShowCheckFondForm</w:t>
      </w:r>
      <w:r>
        <w:t xml:space="preserve"> </w:t>
      </w:r>
      <w:r>
        <w:t xml:space="preserve">(Страница «Проверка фонда») — поиск сканируемых штрих-кодов или инвентарных номеров и обновление данных в найденных экземплярах. Если не задан, используется БД по умолчанию.</w:t>
      </w:r>
    </w:p>
    <w:p>
      <w:pPr>
        <w:pStyle w:val="Compact"/>
        <w:numPr>
          <w:ilvl w:val="1"/>
          <w:numId w:val="1033"/>
        </w:numPr>
      </w:pPr>
      <w:r>
        <w:t xml:space="preserve">Страницу</w:t>
      </w:r>
      <w:r>
        <w:t xml:space="preserve"> </w:t>
      </w:r>
      <w:r>
        <w:rPr>
          <w:rStyle w:val="VerbatimChar"/>
        </w:rPr>
        <w:t xml:space="preserve">Complectator/ProvFondReport</w:t>
      </w:r>
      <w:r>
        <w:t xml:space="preserve"> </w:t>
      </w:r>
      <w:r>
        <w:t xml:space="preserve">(«Отчет о проверке фонда») — перебор указанных баз для формирования отчета о недостачах и проверенном фонде.</w:t>
      </w:r>
    </w:p>
    <w:p>
      <w:pPr>
        <w:pStyle w:val="FirstParagraph"/>
      </w:pPr>
      <w:r>
        <w:t xml:space="preserve">@@</w:t>
      </w:r>
      <w:r>
        <w:t xml:space="preserve">@warn</w:t>
      </w:r>
      <w:r>
        <w:t xml:space="preserve"> </w:t>
      </w:r>
      <w:r>
        <w:rPr>
          <w:b/>
          <w:bCs/>
        </w:rPr>
        <w:t xml:space="preserve">Особенность поиска по нескольким БД:</w:t>
      </w:r>
      <w:r>
        <w:t xml:space="preserve"> </w:t>
      </w:r>
      <w:r>
        <w:t xml:space="preserve">При сканировании в режиме проверки (</w:t>
      </w:r>
      <w:r>
        <w:rPr>
          <w:rStyle w:val="VerbatimChar"/>
        </w:rPr>
        <w:t xml:space="preserve">ShowCheckFondForm</w:t>
      </w:r>
      <w:r>
        <w:t xml:space="preserve">) система ищет штрих-код или инвентарный номер во</w:t>
      </w:r>
      <w:r>
        <w:t xml:space="preserve"> </w:t>
      </w:r>
      <w:r>
        <w:rPr>
          <w:b/>
          <w:bCs/>
        </w:rPr>
        <w:t xml:space="preserve">всех</w:t>
      </w:r>
      <w:r>
        <w:t xml:space="preserve"> </w:t>
      </w:r>
      <w:r>
        <w:t xml:space="preserve">указанных базах последовательно, не прерывая цикл после первого совпадения.</w:t>
      </w:r>
    </w:p>
    <w:p>
      <w:pPr>
        <w:pStyle w:val="Compact"/>
        <w:numPr>
          <w:ilvl w:val="0"/>
          <w:numId w:val="1034"/>
        </w:numPr>
      </w:pPr>
      <w:r>
        <w:t xml:space="preserve">Если один идентификатор присутствует в нескольких базах (например, ошибочный дубль штрих-кода или инвентарного номера), он будет обновлен во всех, но в таблице результатов отобразится строка только для последней обработанной БД.</w:t>
      </w:r>
    </w:p>
    <w:p>
      <w:pPr>
        <w:pStyle w:val="Compact"/>
        <w:numPr>
          <w:ilvl w:val="0"/>
          <w:numId w:val="1034"/>
        </w:numPr>
      </w:pPr>
      <w:r>
        <w:t xml:space="preserve">Если идентификатор найден в одной базе, но отсутствует в других, запись будет успешно обновлена, однако система</w:t>
      </w:r>
      <w:r>
        <w:t xml:space="preserve"> </w:t>
      </w:r>
      <w:r>
        <w:rPr>
          <w:b/>
          <w:bCs/>
        </w:rPr>
        <w:t xml:space="preserve">может ошибочно воспроизвести звуковой сигнал ошибки</w:t>
      </w:r>
      <w:r>
        <w:t xml:space="preserve">, так как зафиксирует факт отсутствия идентификатора в последующих базах.</w:t>
      </w:r>
      <w:r>
        <w:t xml:space="preserve"> </w:t>
      </w:r>
      <w:r>
        <w:t xml:space="preserve">Рекомендуется проводить проверку по одной базе за раз, либо учитывать эту особенность звукового оповещения.</w:t>
      </w:r>
      <w:r>
        <w:t xml:space="preserve"> </w:t>
      </w:r>
      <w:r>
        <w:t xml:space="preserve">@@@</w:t>
      </w:r>
    </w:p>
    <w:bookmarkEnd w:id="36"/>
    <w:bookmarkStart w:id="37" w:name="Xd7ce906ed7c82c1a9a92654b207eca99fdb72aa"/>
    <w:p>
      <w:pPr>
        <w:pStyle w:val="Heading3"/>
      </w:pPr>
      <w:r>
        <w:t xml:space="preserve">2. Разделитель подполя для идентификатора полки (</w:t>
      </w:r>
      <w:r>
        <w:rPr>
          <w:rStyle w:val="VerbatimChar"/>
        </w:rPr>
        <w:t xml:space="preserve">checkFondShelfSubField</w:t>
      </w:r>
      <w:r>
        <w:t xml:space="preserve">)</w:t>
      </w:r>
    </w:p>
    <w:p>
      <w:pPr>
        <w:pStyle w:val="FirstParagraph"/>
      </w:pPr>
      <w:r>
        <w:t xml:space="preserve">Символ подполя, в которое будет записываться штрих-код полки (по умолчанию</w:t>
      </w:r>
      <w:r>
        <w:t xml:space="preserve"> </w:t>
      </w:r>
      <w:r>
        <w:rPr>
          <w:rStyle w:val="VerbatimChar"/>
        </w:rPr>
        <w:t xml:space="preserve">+</w:t>
      </w:r>
      <w:r>
        <w:t xml:space="preserve">).</w:t>
      </w:r>
    </w:p>
    <w:p>
      <w:pPr>
        <w:pStyle w:val="Compact"/>
        <w:numPr>
          <w:ilvl w:val="0"/>
          <w:numId w:val="1035"/>
        </w:numPr>
      </w:pPr>
      <w:r>
        <w:rPr>
          <w:b/>
          <w:bCs/>
        </w:rPr>
        <w:t xml:space="preserve">Влияет на:</w:t>
      </w:r>
    </w:p>
    <w:p>
      <w:pPr>
        <w:pStyle w:val="Compact"/>
        <w:numPr>
          <w:ilvl w:val="1"/>
          <w:numId w:val="1036"/>
        </w:numPr>
      </w:pPr>
      <w:r>
        <w:t xml:space="preserve">Экшен</w:t>
      </w:r>
      <w:r>
        <w:t xml:space="preserve"> </w:t>
      </w:r>
      <w:r>
        <w:rPr>
          <w:rStyle w:val="VerbatimChar"/>
        </w:rPr>
        <w:t xml:space="preserve">ShowCheckFondForm</w:t>
      </w:r>
      <w:r>
        <w:t xml:space="preserve"> </w:t>
      </w:r>
      <w:r>
        <w:t xml:space="preserve">— при сканировании полки её номер записывается в указанное подполе поля 910 найденного экземпляра.</w:t>
      </w:r>
    </w:p>
    <w:p>
      <w:pPr>
        <w:pStyle w:val="Compact"/>
        <w:numPr>
          <w:ilvl w:val="1"/>
          <w:numId w:val="1036"/>
        </w:numPr>
      </w:pPr>
      <w:r>
        <w:t xml:space="preserve">Страницу</w:t>
      </w:r>
      <w:r>
        <w:t xml:space="preserve"> </w:t>
      </w:r>
      <w:r>
        <w:rPr>
          <w:rStyle w:val="VerbatimChar"/>
        </w:rPr>
        <w:t xml:space="preserve">Complectator/ProvFondReport</w:t>
      </w:r>
      <w:r>
        <w:t xml:space="preserve"> </w:t>
      </w:r>
      <w:r>
        <w:t xml:space="preserve">— используется для фильтрации результатов по конкретной полке при формировании отчета.</w:t>
      </w:r>
    </w:p>
    <w:bookmarkEnd w:id="37"/>
    <w:bookmarkStart w:id="38" w:name="X5f5e961123dd1224cac0476c83c2e987cbb1087"/>
    <w:p>
      <w:pPr>
        <w:pStyle w:val="Heading3"/>
      </w:pPr>
      <w:r>
        <w:t xml:space="preserve">3. Использовать единую форму проверки фонда (одно поле ввода) (</w:t>
      </w:r>
      <w:r>
        <w:rPr>
          <w:rStyle w:val="VerbatimChar"/>
        </w:rPr>
        <w:t xml:space="preserve">checkFondUnifiedMode</w:t>
      </w:r>
      <w:r>
        <w:t xml:space="preserve">)</w:t>
      </w:r>
    </w:p>
    <w:p>
      <w:pPr>
        <w:pStyle w:val="FirstParagraph"/>
      </w:pPr>
      <w:r>
        <w:t xml:space="preserve">Переключает интерфейс проверки фонда в современный режим. По умолчанию эта настройка отключена (значение</w:t>
      </w:r>
      <w:r>
        <w:t xml:space="preserve"> </w:t>
      </w:r>
      <w:r>
        <w:rPr>
          <w:rStyle w:val="VerbatimChar"/>
        </w:rPr>
        <w:t xml:space="preserve">0</w:t>
      </w:r>
      <w:r>
        <w:t xml:space="preserve">), и используется классическая форма.</w:t>
      </w:r>
    </w:p>
    <w:p>
      <w:pPr>
        <w:pStyle w:val="Compact"/>
        <w:numPr>
          <w:ilvl w:val="0"/>
          <w:numId w:val="1037"/>
        </w:numPr>
      </w:pPr>
      <w:r>
        <w:rPr>
          <w:b/>
          <w:bCs/>
        </w:rPr>
        <w:t xml:space="preserve">Влияет на:</w:t>
      </w:r>
      <w:r>
        <w:t xml:space="preserve"> </w:t>
      </w:r>
      <w:r>
        <w:t xml:space="preserve">Экшен</w:t>
      </w:r>
      <w:r>
        <w:t xml:space="preserve"> </w:t>
      </w:r>
      <w:r>
        <w:rPr>
          <w:rStyle w:val="VerbatimChar"/>
        </w:rPr>
        <w:t xml:space="preserve">ShowCheckFondForm</w:t>
      </w:r>
      <w:r>
        <w:t xml:space="preserve"> </w:t>
      </w:r>
      <w:r>
        <w:t xml:space="preserve">— меняет внешний вид формы ввода. При включении выводится одно большое текстовое поле для сканирования штрих-кодов полок и книг вперемешку, вместо классических раздельных полей.</w:t>
      </w:r>
    </w:p>
    <w:p>
      <w:pPr>
        <w:pStyle w:val="FirstParagraph"/>
      </w:pPr>
      <w:r>
        <w:t xml:space="preserve">@@</w:t>
      </w:r>
      <w:r>
        <w:t xml:space="preserve">@info</w:t>
      </w:r>
      <w:r>
        <w:t xml:space="preserve"> </w:t>
      </w:r>
      <w:r>
        <w:t xml:space="preserve">Обратите внимание: правила определения места хранения по полке (</w:t>
      </w:r>
      <w:r>
        <w:rPr>
          <w:rStyle w:val="VerbatimChar"/>
        </w:rPr>
        <w:t xml:space="preserve">shelfMhrRules</w:t>
      </w:r>
      <w:r>
        <w:t xml:space="preserve">) работают</w:t>
      </w:r>
      <w:r>
        <w:t xml:space="preserve"> </w:t>
      </w:r>
      <w:r>
        <w:rPr>
          <w:b/>
          <w:bCs/>
        </w:rPr>
        <w:t xml:space="preserve">только</w:t>
      </w:r>
      <w:r>
        <w:t xml:space="preserve"> </w:t>
      </w:r>
      <w:r>
        <w:t xml:space="preserve">при включенной единой форме ввода. В классическом режиме они игнорируются, так как место хранения выбирается вручную из выпадающего списка.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Логика фиксации ФИО проверяющего и ведения истории проверки (настройки</w:t>
      </w:r>
      <w:r>
        <w:t xml:space="preserve"> </w:t>
      </w:r>
      <w:r>
        <w:rPr>
          <w:rStyle w:val="VerbatimChar"/>
        </w:rPr>
        <w:t xml:space="preserve">checkFondUserSubfield</w:t>
      </w:r>
      <w:r>
        <w:t xml:space="preserve">,</w:t>
      </w:r>
      <w:r>
        <w:t xml:space="preserve"> </w:t>
      </w:r>
      <w:r>
        <w:rPr>
          <w:rStyle w:val="VerbatimChar"/>
        </w:rPr>
        <w:t xml:space="preserve">checkFondHistorySubfield</w:t>
      </w:r>
      <w:r>
        <w:t xml:space="preserve">,</w:t>
      </w:r>
      <w:r>
        <w:t xml:space="preserve"> </w:t>
      </w:r>
      <w:r>
        <w:rPr>
          <w:rStyle w:val="VerbatimChar"/>
        </w:rPr>
        <w:t xml:space="preserve">checkFondHistoryField</w:t>
      </w:r>
      <w:r>
        <w:t xml:space="preserve">) также реализована</w:t>
      </w:r>
      <w:r>
        <w:t xml:space="preserve"> </w:t>
      </w:r>
      <w:r>
        <w:rPr>
          <w:b/>
          <w:bCs/>
        </w:rPr>
        <w:t xml:space="preserve">только</w:t>
      </w:r>
      <w:r>
        <w:t xml:space="preserve"> </w:t>
      </w:r>
      <w:r>
        <w:t xml:space="preserve">для единой формы ввода. В классическом (раздельном) режиме система обновит в записи лишь дату, место хранения и</w:t>
      </w:r>
      <w:r>
        <w:t xml:space="preserve"> </w:t>
      </w:r>
      <w:r>
        <w:rPr>
          <w:b/>
          <w:bCs/>
        </w:rPr>
        <w:t xml:space="preserve">номер полки</w:t>
      </w:r>
      <w:r>
        <w:t xml:space="preserve"> </w:t>
      </w:r>
      <w:r>
        <w:t xml:space="preserve">(если он был указан в соответствующем поле).</w:t>
      </w:r>
      <w:r>
        <w:t xml:space="preserve"> </w:t>
      </w:r>
      <w:r>
        <w:t xml:space="preserve">@@@</w:t>
      </w:r>
    </w:p>
    <w:bookmarkEnd w:id="38"/>
    <w:bookmarkStart w:id="39" w:name="Xd06e3923339449d2295e70c69ef389582ee425b"/>
    <w:p>
      <w:pPr>
        <w:pStyle w:val="Heading3"/>
      </w:pPr>
      <w:r>
        <w:t xml:space="preserve">4. Частота звука ошибки (Гц) (</w:t>
      </w:r>
      <w:r>
        <w:rPr>
          <w:rStyle w:val="VerbatimChar"/>
        </w:rPr>
        <w:t xml:space="preserve">checkFondErrorSoundFreq</w:t>
      </w:r>
      <w:r>
        <w:t xml:space="preserve">)</w:t>
      </w:r>
    </w:p>
    <w:p>
      <w:pPr>
        <w:pStyle w:val="FirstParagraph"/>
      </w:pPr>
      <w:r>
        <w:t xml:space="preserve">Тональность звукового сигнала при ошибке сканирования (по умолчанию 150).</w:t>
      </w:r>
    </w:p>
    <w:p>
      <w:pPr>
        <w:pStyle w:val="Compact"/>
        <w:numPr>
          <w:ilvl w:val="0"/>
          <w:numId w:val="1038"/>
        </w:numPr>
      </w:pPr>
      <w:r>
        <w:rPr>
          <w:b/>
          <w:bCs/>
        </w:rPr>
        <w:t xml:space="preserve">Влияет на:</w:t>
      </w:r>
      <w:r>
        <w:t xml:space="preserve"> </w:t>
      </w:r>
      <w:r>
        <w:t xml:space="preserve">Экшен</w:t>
      </w:r>
      <w:r>
        <w:t xml:space="preserve"> </w:t>
      </w:r>
      <w:r>
        <w:rPr>
          <w:rStyle w:val="VerbatimChar"/>
        </w:rPr>
        <w:t xml:space="preserve">ShowCheckFondForm</w:t>
      </w:r>
      <w:r>
        <w:t xml:space="preserve"> </w:t>
      </w:r>
      <w:r>
        <w:t xml:space="preserve">— генерация звука через Web Audio API (форма волны</w:t>
      </w:r>
      <w:r>
        <w:t xml:space="preserve"> </w:t>
      </w:r>
      <w:r>
        <w:rPr>
          <w:rStyle w:val="VerbatimChar"/>
        </w:rPr>
        <w:t xml:space="preserve">sawtooth</w:t>
      </w:r>
      <w:r>
        <w:t xml:space="preserve">). Воспроизводится прямо в браузере, если сканируемая книга не найдена или произошла ошибка статуса. Загрузка дополнительных аудиофайлов на сервер не требуется.</w:t>
      </w:r>
      <w:r>
        <w:t xml:space="preserve"> </w:t>
      </w:r>
      <w:r>
        <w:t xml:space="preserve">Если указать значение</w:t>
      </w:r>
      <w:r>
        <w:t xml:space="preserve"> </w:t>
      </w:r>
      <w:r>
        <w:rPr>
          <w:rStyle w:val="VerbatimChar"/>
        </w:rPr>
        <w:t xml:space="preserve">0</w:t>
      </w:r>
      <w:r>
        <w:t xml:space="preserve"> </w:t>
      </w:r>
      <w:r>
        <w:t xml:space="preserve">или отрицательное число, система автоматически применит значение по умолчанию (150 Гц).</w:t>
      </w:r>
    </w:p>
    <w:bookmarkEnd w:id="39"/>
    <w:bookmarkStart w:id="40" w:name="X22d032e64d15bceca4746892e59cecada8eecd8"/>
    <w:p>
      <w:pPr>
        <w:pStyle w:val="Heading3"/>
      </w:pPr>
      <w:r>
        <w:t xml:space="preserve">5. Воспроизводить звуковой сигнал при ошибке (</w:t>
      </w:r>
      <w:r>
        <w:rPr>
          <w:rStyle w:val="VerbatimChar"/>
        </w:rPr>
        <w:t xml:space="preserve">checkFondPlayErrorSound</w:t>
      </w:r>
      <w:r>
        <w:t xml:space="preserve">)</w:t>
      </w:r>
    </w:p>
    <w:p>
      <w:pPr>
        <w:pStyle w:val="FirstParagraph"/>
      </w:pPr>
      <w:r>
        <w:t xml:space="preserve">Включает или выключает звуковые оповещения об ошибках при проверке фонда.</w:t>
      </w:r>
    </w:p>
    <w:p>
      <w:pPr>
        <w:pStyle w:val="Compact"/>
        <w:numPr>
          <w:ilvl w:val="0"/>
          <w:numId w:val="1039"/>
        </w:numPr>
      </w:pPr>
      <w:r>
        <w:rPr>
          <w:b/>
          <w:bCs/>
        </w:rPr>
        <w:t xml:space="preserve">Влияет на:</w:t>
      </w:r>
      <w:r>
        <w:t xml:space="preserve"> </w:t>
      </w:r>
      <w:r>
        <w:t xml:space="preserve">Экшен</w:t>
      </w:r>
      <w:r>
        <w:t xml:space="preserve"> </w:t>
      </w:r>
      <w:r>
        <w:rPr>
          <w:rStyle w:val="VerbatimChar"/>
        </w:rPr>
        <w:t xml:space="preserve">ShowCheckFondForm</w:t>
      </w:r>
      <w:r>
        <w:t xml:space="preserve"> </w:t>
      </w:r>
      <w:r>
        <w:t xml:space="preserve">— задает первоначальное состояние кнопки управления звуком на странице. При этом пользователи могут вручную переключать звук в интерфейсе — их личный выбор сохранится в памяти браузера (</w:t>
      </w:r>
      <w:r>
        <w:rPr>
          <w:rStyle w:val="VerbatimChar"/>
        </w:rPr>
        <w:t xml:space="preserve">localStorage</w:t>
      </w:r>
      <w:r>
        <w:t xml:space="preserve"> </w:t>
      </w:r>
      <w:r>
        <w:t xml:space="preserve">под ключом</w:t>
      </w:r>
      <w:r>
        <w:t xml:space="preserve"> </w:t>
      </w:r>
      <w:r>
        <w:rPr>
          <w:rStyle w:val="VerbatimChar"/>
        </w:rPr>
        <w:t xml:space="preserve">checkFondPlayErrorSoundLocal</w:t>
      </w:r>
      <w:r>
        <w:t xml:space="preserve">) и будет иметь приоритет над системной настройкой.</w:t>
      </w:r>
    </w:p>
    <w:bookmarkEnd w:id="40"/>
    <w:bookmarkStart w:id="51" w:name="X5d20fac9c1151c1fd03406cec1dd2b02017c9b5"/>
    <w:p>
      <w:pPr>
        <w:pStyle w:val="Heading3"/>
      </w:pPr>
      <w:r>
        <w:t xml:space="preserve">6. Настройка полей и подполей для проверки фонда</w:t>
      </w:r>
    </w:p>
    <w:p>
      <w:pPr>
        <w:pStyle w:val="FirstParagraph"/>
      </w:pPr>
      <w:r>
        <w:t xml:space="preserve">Маппинг полей библиографической записи (обычно поле 910 для экземпляров). Данный блок настроек напрямую влияет на логику обновления записи и формирование отчетов.</w:t>
      </w:r>
    </w:p>
    <w:bookmarkStart w:id="41" w:name="X79e6560b768854a3a1232bf0db9d3aed0e1e93c"/>
    <w:p>
      <w:pPr>
        <w:pStyle w:val="Heading4"/>
      </w:pPr>
      <w:r>
        <w:t xml:space="preserve">6.1. Подполе для штрих-кода (</w:t>
      </w:r>
      <w:r>
        <w:rPr>
          <w:rStyle w:val="VerbatimChar"/>
        </w:rPr>
        <w:t xml:space="preserve">checkFondBarcodeSubfield</w:t>
      </w:r>
      <w:r>
        <w:t xml:space="preserve">)</w:t>
      </w:r>
    </w:p>
    <w:p>
      <w:pPr>
        <w:pStyle w:val="FirstParagraph"/>
      </w:pPr>
      <w:r>
        <w:t xml:space="preserve">Символ подполя, содержащего штрих-код экземпляра (по умолчанию</w:t>
      </w:r>
      <w:r>
        <w:t xml:space="preserve"> </w:t>
      </w:r>
      <w:r>
        <w:rPr>
          <w:rStyle w:val="VerbatimChar"/>
        </w:rPr>
        <w:t xml:space="preserve">H</w:t>
      </w:r>
      <w:r>
        <w:t xml:space="preserve">).</w:t>
      </w:r>
    </w:p>
    <w:p>
      <w:pPr>
        <w:pStyle w:val="Compact"/>
        <w:numPr>
          <w:ilvl w:val="0"/>
          <w:numId w:val="1040"/>
        </w:numPr>
      </w:pPr>
      <w:r>
        <w:rPr>
          <w:b/>
          <w:bCs/>
        </w:rPr>
        <w:t xml:space="preserve">Влияет на:</w:t>
      </w:r>
    </w:p>
    <w:p>
      <w:pPr>
        <w:pStyle w:val="Compact"/>
        <w:numPr>
          <w:ilvl w:val="1"/>
          <w:numId w:val="1041"/>
        </w:numPr>
      </w:pPr>
      <w:r>
        <w:t xml:space="preserve">Экшен</w:t>
      </w:r>
      <w:r>
        <w:t xml:space="preserve"> </w:t>
      </w:r>
      <w:r>
        <w:rPr>
          <w:rStyle w:val="VerbatimChar"/>
        </w:rPr>
        <w:t xml:space="preserve">ShowCheckFondForm</w:t>
      </w:r>
      <w:r>
        <w:t xml:space="preserve"> </w:t>
      </w:r>
      <w:r>
        <w:t xml:space="preserve">— поиск библиографической записи и конкретного повторения поля экземпляра для обновления статуса.</w:t>
      </w:r>
    </w:p>
    <w:p>
      <w:pPr>
        <w:pStyle w:val="Compact"/>
        <w:numPr>
          <w:ilvl w:val="1"/>
          <w:numId w:val="1041"/>
        </w:numPr>
      </w:pPr>
      <w:r>
        <w:t xml:space="preserve">Страницу</w:t>
      </w:r>
      <w:r>
        <w:t xml:space="preserve"> </w:t>
      </w:r>
      <w:r>
        <w:rPr>
          <w:rStyle w:val="VerbatimChar"/>
        </w:rPr>
        <w:t xml:space="preserve">Complectator/ProvFondReport</w:t>
      </w:r>
      <w:r>
        <w:t xml:space="preserve"> </w:t>
      </w:r>
      <w:r>
        <w:t xml:space="preserve">— поиск экземпляров, а также проверка выдачи читателям (поиск в БД</w:t>
      </w:r>
      <w:r>
        <w:t xml:space="preserve"> </w:t>
      </w:r>
      <w:r>
        <w:rPr>
          <w:rStyle w:val="VerbatimChar"/>
        </w:rPr>
        <w:t xml:space="preserve">RDR</w:t>
      </w:r>
      <w:r>
        <w:t xml:space="preserve"> </w:t>
      </w:r>
      <w:r>
        <w:t xml:space="preserve">по штрих-коду).</w:t>
      </w:r>
    </w:p>
    <w:bookmarkEnd w:id="41"/>
    <w:bookmarkStart w:id="42" w:name="X1a45c74616d814e8934285c1169d94b1a24aa93"/>
    <w:p>
      <w:pPr>
        <w:pStyle w:val="Heading4"/>
      </w:pPr>
      <w:r>
        <w:t xml:space="preserve">6.2. Подполе для инвентарного номера (</w:t>
      </w:r>
      <w:r>
        <w:rPr>
          <w:rStyle w:val="VerbatimChar"/>
        </w:rPr>
        <w:t xml:space="preserve">checkFondInvNumSubfield</w:t>
      </w:r>
      <w:r>
        <w:t xml:space="preserve">)</w:t>
      </w:r>
    </w:p>
    <w:p>
      <w:pPr>
        <w:pStyle w:val="FirstParagraph"/>
      </w:pPr>
      <w:r>
        <w:t xml:space="preserve">Символ подполя, содержащего инвентарный номер экземпляра (по умолчанию</w:t>
      </w:r>
      <w:r>
        <w:t xml:space="preserve"> </w:t>
      </w:r>
      <w:r>
        <w:rPr>
          <w:rStyle w:val="VerbatimChar"/>
        </w:rPr>
        <w:t xml:space="preserve">B</w:t>
      </w:r>
      <w:r>
        <w:t xml:space="preserve">).</w:t>
      </w:r>
    </w:p>
    <w:p>
      <w:pPr>
        <w:pStyle w:val="Compact"/>
        <w:numPr>
          <w:ilvl w:val="0"/>
          <w:numId w:val="1042"/>
        </w:numPr>
      </w:pPr>
      <w:r>
        <w:rPr>
          <w:b/>
          <w:bCs/>
        </w:rPr>
        <w:t xml:space="preserve">Влияет на:</w:t>
      </w:r>
    </w:p>
    <w:p>
      <w:pPr>
        <w:pStyle w:val="Compact"/>
        <w:numPr>
          <w:ilvl w:val="1"/>
          <w:numId w:val="1043"/>
        </w:numPr>
      </w:pPr>
      <w:r>
        <w:t xml:space="preserve">Экшен</w:t>
      </w:r>
      <w:r>
        <w:t xml:space="preserve"> </w:t>
      </w:r>
      <w:r>
        <w:rPr>
          <w:rStyle w:val="VerbatimChar"/>
        </w:rPr>
        <w:t xml:space="preserve">ShowCheckFondForm</w:t>
      </w:r>
      <w:r>
        <w:t xml:space="preserve"> </w:t>
      </w:r>
      <w:r>
        <w:t xml:space="preserve">— альтернативный идентификатор для поиска записи и её обновления.</w:t>
      </w:r>
    </w:p>
    <w:p>
      <w:pPr>
        <w:pStyle w:val="Compact"/>
        <w:numPr>
          <w:ilvl w:val="1"/>
          <w:numId w:val="1043"/>
        </w:numPr>
      </w:pPr>
      <w:r>
        <w:t xml:space="preserve">Страницу</w:t>
      </w:r>
      <w:r>
        <w:t xml:space="preserve"> </w:t>
      </w:r>
      <w:r>
        <w:rPr>
          <w:rStyle w:val="VerbatimChar"/>
        </w:rPr>
        <w:t xml:space="preserve">Complectator/ProvFondReport</w:t>
      </w:r>
      <w:r>
        <w:t xml:space="preserve"> </w:t>
      </w:r>
      <w:r>
        <w:t xml:space="preserve">— поиск экземпляров и проверка задолженностей в БД</w:t>
      </w:r>
      <w:r>
        <w:t xml:space="preserve"> </w:t>
      </w:r>
      <w:r>
        <w:rPr>
          <w:rStyle w:val="VerbatimChar"/>
        </w:rPr>
        <w:t xml:space="preserve">RDR</w:t>
      </w:r>
      <w:r>
        <w:t xml:space="preserve">.</w:t>
      </w:r>
    </w:p>
    <w:bookmarkEnd w:id="42"/>
    <w:bookmarkStart w:id="43" w:name="X872850ff0e912596c189b70b5fd31dc6fa40e4d"/>
    <w:p>
      <w:pPr>
        <w:pStyle w:val="Heading4"/>
      </w:pPr>
      <w:r>
        <w:t xml:space="preserve">6.3. Подполе для даты проверки (</w:t>
      </w:r>
      <w:r>
        <w:rPr>
          <w:rStyle w:val="VerbatimChar"/>
        </w:rPr>
        <w:t xml:space="preserve">checkFondDateSubfield</w:t>
      </w:r>
      <w:r>
        <w:t xml:space="preserve">)</w:t>
      </w:r>
    </w:p>
    <w:p>
      <w:pPr>
        <w:pStyle w:val="FirstParagraph"/>
      </w:pPr>
      <w:r>
        <w:t xml:space="preserve">Символ подполя, в которое записывается дата проверки (по умолчанию</w:t>
      </w:r>
      <w:r>
        <w:t xml:space="preserve"> </w:t>
      </w:r>
      <w:r>
        <w:rPr>
          <w:rStyle w:val="VerbatimChar"/>
        </w:rPr>
        <w:t xml:space="preserve">S</w:t>
      </w:r>
      <w:r>
        <w:t xml:space="preserve">).</w:t>
      </w:r>
    </w:p>
    <w:p>
      <w:pPr>
        <w:pStyle w:val="Compact"/>
        <w:numPr>
          <w:ilvl w:val="0"/>
          <w:numId w:val="1044"/>
        </w:numPr>
      </w:pPr>
      <w:r>
        <w:rPr>
          <w:b/>
          <w:bCs/>
        </w:rPr>
        <w:t xml:space="preserve">Влияет на:</w:t>
      </w:r>
    </w:p>
    <w:p>
      <w:pPr>
        <w:pStyle w:val="Compact"/>
        <w:numPr>
          <w:ilvl w:val="1"/>
          <w:numId w:val="1045"/>
        </w:numPr>
      </w:pPr>
      <w:r>
        <w:t xml:space="preserve">Экшен</w:t>
      </w:r>
      <w:r>
        <w:t xml:space="preserve"> </w:t>
      </w:r>
      <w:r>
        <w:rPr>
          <w:rStyle w:val="VerbatimChar"/>
        </w:rPr>
        <w:t xml:space="preserve">ShowCheckFondForm</w:t>
      </w:r>
      <w:r>
        <w:t xml:space="preserve"> </w:t>
      </w:r>
      <w:r>
        <w:t xml:space="preserve">— обновление данного подполя текущей датой сервера в формате</w:t>
      </w:r>
      <w:r>
        <w:t xml:space="preserve"> </w:t>
      </w:r>
      <w:r>
        <w:rPr>
          <w:rStyle w:val="VerbatimChar"/>
        </w:rPr>
        <w:t xml:space="preserve">Ymd</w:t>
      </w:r>
      <w:r>
        <w:t xml:space="preserve"> </w:t>
      </w:r>
      <w:r>
        <w:t xml:space="preserve">(например,</w:t>
      </w:r>
      <w:r>
        <w:t xml:space="preserve"> </w:t>
      </w:r>
      <w:r>
        <w:rPr>
          <w:rStyle w:val="VerbatimChar"/>
        </w:rPr>
        <w:t xml:space="preserve">20260415</w:t>
      </w:r>
      <w:r>
        <w:t xml:space="preserve">) при сканировании.</w:t>
      </w:r>
    </w:p>
    <w:p>
      <w:pPr>
        <w:pStyle w:val="Compact"/>
        <w:numPr>
          <w:ilvl w:val="1"/>
          <w:numId w:val="1045"/>
        </w:numPr>
      </w:pPr>
      <w:r>
        <w:t xml:space="preserve">Страницу</w:t>
      </w:r>
      <w:r>
        <w:t xml:space="preserve"> </w:t>
      </w:r>
      <w:r>
        <w:rPr>
          <w:rStyle w:val="VerbatimChar"/>
        </w:rPr>
        <w:t xml:space="preserve">Complectator/ProvFondReport</w:t>
      </w:r>
      <w:r>
        <w:t xml:space="preserve"> </w:t>
      </w:r>
      <w:r>
        <w:t xml:space="preserve">— отбор проверенных и непроверенных экземпляров путем сравнения данного подполя с датой начала проверки, указанной в фильтре.</w:t>
      </w:r>
    </w:p>
    <w:bookmarkEnd w:id="43"/>
    <w:bookmarkStart w:id="44" w:name="Xcc311f5158bdcbf7d595d36da321317a800f47f"/>
    <w:p>
      <w:pPr>
        <w:pStyle w:val="Heading4"/>
      </w:pPr>
      <w:r>
        <w:t xml:space="preserve">6.4. Подполе для ФИО проверявшего (</w:t>
      </w:r>
      <w:r>
        <w:rPr>
          <w:rStyle w:val="VerbatimChar"/>
        </w:rPr>
        <w:t xml:space="preserve">checkFondUserSubfield</w:t>
      </w:r>
      <w:r>
        <w:t xml:space="preserve">)</w:t>
      </w:r>
    </w:p>
    <w:p>
      <w:pPr>
        <w:pStyle w:val="FirstParagraph"/>
      </w:pPr>
      <w:r>
        <w:t xml:space="preserve">Символ подполя для записи ФИО сотрудника, проводившего инвентаризацию (по умолчанию</w:t>
      </w:r>
      <w:r>
        <w:t xml:space="preserve"> </w:t>
      </w:r>
      <w:r>
        <w:rPr>
          <w:rStyle w:val="VerbatimChar"/>
        </w:rPr>
        <w:t xml:space="preserve">(</w:t>
      </w:r>
      <w:r>
        <w:t xml:space="preserve">).</w:t>
      </w:r>
    </w:p>
    <w:p>
      <w:pPr>
        <w:pStyle w:val="Compact"/>
        <w:numPr>
          <w:ilvl w:val="0"/>
          <w:numId w:val="1046"/>
        </w:numPr>
      </w:pPr>
      <w:r>
        <w:rPr>
          <w:b/>
          <w:bCs/>
        </w:rPr>
        <w:t xml:space="preserve">Влияет на:</w:t>
      </w:r>
      <w:r>
        <w:t xml:space="preserve"> </w:t>
      </w:r>
      <w:r>
        <w:t xml:space="preserve">Экшен</w:t>
      </w:r>
      <w:r>
        <w:t xml:space="preserve"> </w:t>
      </w:r>
      <w:r>
        <w:rPr>
          <w:rStyle w:val="VerbatimChar"/>
        </w:rPr>
        <w:t xml:space="preserve">ShowCheckFondForm</w:t>
      </w:r>
      <w:r>
        <w:t xml:space="preserve"> </w:t>
      </w:r>
      <w:r>
        <w:t xml:space="preserve">— при успешном сканировании заполняется ФИО текущего пользователя системы (берется из полей 10, 11, 12 профиля сотрудника, либо берется логин из</w:t>
      </w:r>
      <w:r>
        <w:t xml:space="preserve"> </w:t>
      </w:r>
      <w:r>
        <w:rPr>
          <w:rStyle w:val="VerbatimChar"/>
        </w:rPr>
        <w:t xml:space="preserve">30^A</w:t>
      </w:r>
      <w:r>
        <w:t xml:space="preserve"> </w:t>
      </w:r>
      <w:r>
        <w:t xml:space="preserve">при их отсутствии). В отчетах используется для отображения ответственного.</w:t>
      </w:r>
    </w:p>
    <w:bookmarkEnd w:id="44"/>
    <w:bookmarkStart w:id="45" w:name="X9b4d87d5c6a71d83137a577ccc694895f5912dd"/>
    <w:p>
      <w:pPr>
        <w:pStyle w:val="Heading4"/>
      </w:pPr>
      <w:r>
        <w:t xml:space="preserve">6.5. Подполе для фактического места хранения (</w:t>
      </w:r>
      <w:r>
        <w:rPr>
          <w:rStyle w:val="VerbatimChar"/>
        </w:rPr>
        <w:t xml:space="preserve">checkFondMhrSubfield</w:t>
      </w:r>
      <w:r>
        <w:t xml:space="preserve">)</w:t>
      </w:r>
    </w:p>
    <w:p>
      <w:pPr>
        <w:pStyle w:val="FirstParagraph"/>
      </w:pPr>
      <w:r>
        <w:t xml:space="preserve">Символ подполя, куда записывается подтвержденное место хранения (по умолчанию</w:t>
      </w:r>
      <w:r>
        <w:t xml:space="preserve"> </w:t>
      </w:r>
      <w:r>
        <w:rPr>
          <w:rStyle w:val="VerbatimChar"/>
        </w:rPr>
        <w:t xml:space="preserve">!</w:t>
      </w:r>
      <w:r>
        <w:t xml:space="preserve">).</w:t>
      </w:r>
    </w:p>
    <w:p>
      <w:pPr>
        <w:pStyle w:val="Compact"/>
        <w:numPr>
          <w:ilvl w:val="0"/>
          <w:numId w:val="1047"/>
        </w:numPr>
      </w:pPr>
      <w:r>
        <w:rPr>
          <w:b/>
          <w:bCs/>
        </w:rPr>
        <w:t xml:space="preserve">Влияет на:</w:t>
      </w:r>
    </w:p>
    <w:p>
      <w:pPr>
        <w:pStyle w:val="Compact"/>
        <w:numPr>
          <w:ilvl w:val="1"/>
          <w:numId w:val="1048"/>
        </w:numPr>
      </w:pPr>
      <w:r>
        <w:t xml:space="preserve">Экшен</w:t>
      </w:r>
      <w:r>
        <w:t xml:space="preserve"> </w:t>
      </w:r>
      <w:r>
        <w:rPr>
          <w:rStyle w:val="VerbatimChar"/>
        </w:rPr>
        <w:t xml:space="preserve">ShowCheckFondForm</w:t>
      </w:r>
      <w:r>
        <w:t xml:space="preserve"> </w:t>
      </w:r>
      <w:r>
        <w:t xml:space="preserve">— актуализация места хранения (полученного из правил полок или выбранного из списка) в записи экземпляра.</w:t>
      </w:r>
    </w:p>
    <w:p>
      <w:pPr>
        <w:pStyle w:val="Compact"/>
        <w:numPr>
          <w:ilvl w:val="1"/>
          <w:numId w:val="1048"/>
        </w:numPr>
      </w:pPr>
      <w:r>
        <w:t xml:space="preserve">Страницу</w:t>
      </w:r>
      <w:r>
        <w:t xml:space="preserve"> </w:t>
      </w:r>
      <w:r>
        <w:rPr>
          <w:rStyle w:val="VerbatimChar"/>
        </w:rPr>
        <w:t xml:space="preserve">Complectator/ProvFondReport</w:t>
      </w:r>
      <w:r>
        <w:t xml:space="preserve"> </w:t>
      </w:r>
      <w:r>
        <w:t xml:space="preserve">— отбор экземпляров для отчета по месту хранения (при этом система также проверяет стандартные подполя</w:t>
      </w:r>
      <w:r>
        <w:t xml:space="preserve"> </w:t>
      </w:r>
      <w:r>
        <w:rPr>
          <w:rStyle w:val="VerbatimChar"/>
        </w:rPr>
        <w:t xml:space="preserve">D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d</w:t>
      </w:r>
      <w:r>
        <w:t xml:space="preserve">, что позволяет корректно учитывать еще не проверенный фонд).</w:t>
      </w:r>
    </w:p>
    <w:bookmarkEnd w:id="45"/>
    <w:bookmarkStart w:id="46" w:name="индекс-фактического-места-хранения"/>
    <w:p>
      <w:pPr>
        <w:pStyle w:val="Heading4"/>
      </w:pPr>
      <w:r>
        <w:t xml:space="preserve">6.6. Индекс фактического места хранения</w:t>
      </w:r>
    </w:p>
    <w:p>
      <w:pPr>
        <w:pStyle w:val="FirstParagraph"/>
      </w:pPr>
      <w:r>
        <w:t xml:space="preserve">Префикс поискового словаря</w:t>
      </w:r>
      <w:r>
        <w:t xml:space="preserve"> </w:t>
      </w:r>
      <w:r>
        <w:rPr>
          <w:rStyle w:val="VerbatimChar"/>
        </w:rPr>
        <w:t xml:space="preserve">INPF=</w:t>
      </w:r>
      <w:r>
        <w:t xml:space="preserve">, по которому отчет ищет экземпляры с заполненным фактическим местом хранения из</w:t>
      </w:r>
      <w:r>
        <w:t xml:space="preserve"> </w:t>
      </w:r>
      <w:r>
        <w:rPr>
          <w:rStyle w:val="VerbatimChar"/>
        </w:rPr>
        <w:t xml:space="preserve">checkFondMhrSubfield</w:t>
      </w:r>
      <w:r>
        <w:t xml:space="preserve">.</w:t>
      </w:r>
    </w:p>
    <w:p>
      <w:pPr>
        <w:pStyle w:val="Compact"/>
        <w:numPr>
          <w:ilvl w:val="0"/>
          <w:numId w:val="1049"/>
        </w:numPr>
      </w:pPr>
      <w:r>
        <w:rPr>
          <w:b/>
          <w:bCs/>
        </w:rPr>
        <w:t xml:space="preserve">Влияет на:</w:t>
      </w:r>
      <w:r>
        <w:t xml:space="preserve"> </w:t>
      </w:r>
      <w:r>
        <w:t xml:space="preserve">Страницу</w:t>
      </w:r>
      <w:r>
        <w:t xml:space="preserve"> </w:t>
      </w:r>
      <w:r>
        <w:rPr>
          <w:rStyle w:val="VerbatimChar"/>
        </w:rPr>
        <w:t xml:space="preserve">Complectator/ProvFondReport</w:t>
      </w:r>
      <w:r>
        <w:t xml:space="preserve"> </w:t>
      </w:r>
      <w:r>
        <w:t xml:space="preserve">— первичная выборка строится по стандартному</w:t>
      </w:r>
      <w:r>
        <w:t xml:space="preserve"> </w:t>
      </w:r>
      <w:r>
        <w:rPr>
          <w:rStyle w:val="VerbatimChar"/>
        </w:rPr>
        <w:t xml:space="preserve">MHR=</w:t>
      </w:r>
      <w:r>
        <w:t xml:space="preserve"> </w:t>
      </w:r>
      <w:r>
        <w:t xml:space="preserve">и префиксу</w:t>
      </w:r>
      <w:r>
        <w:t xml:space="preserve"> </w:t>
      </w:r>
      <w:r>
        <w:rPr>
          <w:rStyle w:val="VerbatimChar"/>
        </w:rPr>
        <w:t xml:space="preserve">INPF=</w:t>
      </w:r>
      <w:r>
        <w:t xml:space="preserve">. Это позволяет включать в отчет уже проверенные экземпляры, у которых фактическое место хранения записано в отдельное подполе 910 и не попадает в индекс</w:t>
      </w:r>
      <w:r>
        <w:t xml:space="preserve"> </w:t>
      </w:r>
      <w:r>
        <w:rPr>
          <w:rStyle w:val="VerbatimChar"/>
        </w:rPr>
        <w:t xml:space="preserve">MHR=</w:t>
      </w:r>
      <w:r>
        <w:t xml:space="preserve">.</w:t>
      </w:r>
    </w:p>
    <w:bookmarkEnd w:id="46"/>
    <w:bookmarkStart w:id="47" w:name="X3cb6ed840b078a7bde1814dbf04aed66096e742"/>
    <w:p>
      <w:pPr>
        <w:pStyle w:val="Heading4"/>
      </w:pPr>
      <w:r>
        <w:t xml:space="preserve">6.7. Подполе для истории проверки (</w:t>
      </w:r>
      <w:r>
        <w:rPr>
          <w:rStyle w:val="VerbatimChar"/>
        </w:rPr>
        <w:t xml:space="preserve">checkFondHistorySubfield</w:t>
      </w:r>
      <w:r>
        <w:t xml:space="preserve">)</w:t>
      </w:r>
    </w:p>
    <w:p>
      <w:pPr>
        <w:pStyle w:val="FirstParagraph"/>
      </w:pPr>
      <w:r>
        <w:t xml:space="preserve">Символ подполя для хранения предыдущих дат проверок (по умолчанию</w:t>
      </w:r>
      <w:r>
        <w:t xml:space="preserve"> </w:t>
      </w:r>
      <w:r>
        <w:rPr>
          <w:rStyle w:val="VerbatimChar"/>
        </w:rPr>
        <w:t xml:space="preserve">)</w:t>
      </w:r>
      <w:r>
        <w:t xml:space="preserve">).</w:t>
      </w:r>
    </w:p>
    <w:p>
      <w:pPr>
        <w:pStyle w:val="Compact"/>
        <w:numPr>
          <w:ilvl w:val="0"/>
          <w:numId w:val="1050"/>
        </w:numPr>
      </w:pPr>
      <w:r>
        <w:rPr>
          <w:b/>
          <w:bCs/>
        </w:rPr>
        <w:t xml:space="preserve">Влияет на:</w:t>
      </w:r>
      <w:r>
        <w:t xml:space="preserve"> </w:t>
      </w:r>
      <w:r>
        <w:t xml:space="preserve">Экшен</w:t>
      </w:r>
      <w:r>
        <w:t xml:space="preserve"> </w:t>
      </w:r>
      <w:r>
        <w:rPr>
          <w:rStyle w:val="VerbatimChar"/>
        </w:rPr>
        <w:t xml:space="preserve">ShowCheckFondForm</w:t>
      </w:r>
      <w:r>
        <w:t xml:space="preserve"> </w:t>
      </w:r>
      <w:r>
        <w:t xml:space="preserve">— в это подполе переносится старая дата проверки, инвентарный номер (если отсутствует, используется штрих-код) и ФИО проверявшего в формате</w:t>
      </w:r>
      <w:r>
        <w:t xml:space="preserve"> </w:t>
      </w:r>
      <w:r>
        <w:rPr>
          <w:rStyle w:val="VerbatimChar"/>
        </w:rPr>
        <w:t xml:space="preserve">инвентарь/дата/ФИО</w:t>
      </w:r>
      <w:r>
        <w:t xml:space="preserve">.</w:t>
      </w:r>
      <w:r>
        <w:t xml:space="preserve"> </w:t>
      </w:r>
      <w:r>
        <w:t xml:space="preserve">История сохраняется только в том случае, если у экземпляра уже была заполнена дата предыдущей проверки или ФИО проверявшего. При первичной проверке пустая история не создается.</w:t>
      </w:r>
    </w:p>
    <w:bookmarkEnd w:id="47"/>
    <w:bookmarkStart w:id="48" w:name="Xf555d9876ac2a5167de061ca5b3f87df5eb4289"/>
    <w:p>
      <w:pPr>
        <w:pStyle w:val="Heading4"/>
      </w:pPr>
      <w:r>
        <w:t xml:space="preserve">6.8. Поле для копии с историей (</w:t>
      </w:r>
      <w:r>
        <w:rPr>
          <w:rStyle w:val="VerbatimChar"/>
        </w:rPr>
        <w:t xml:space="preserve">checkFondHistoryField</w:t>
      </w:r>
      <w:r>
        <w:t xml:space="preserve">)</w:t>
      </w:r>
    </w:p>
    <w:p>
      <w:pPr>
        <w:pStyle w:val="FirstParagraph"/>
      </w:pPr>
      <w:r>
        <w:t xml:space="preserve">Метка поля (по умолчанию</w:t>
      </w:r>
      <w:r>
        <w:t xml:space="preserve"> </w:t>
      </w:r>
      <w:r>
        <w:rPr>
          <w:rStyle w:val="VerbatimChar"/>
        </w:rPr>
        <w:t xml:space="preserve">9101</w:t>
      </w:r>
      <w:r>
        <w:t xml:space="preserve">), в которое полностью копируется поле экземпляра для сохранения истории.</w:t>
      </w:r>
    </w:p>
    <w:p>
      <w:pPr>
        <w:pStyle w:val="Compact"/>
        <w:numPr>
          <w:ilvl w:val="0"/>
          <w:numId w:val="1051"/>
        </w:numPr>
      </w:pPr>
      <w:r>
        <w:rPr>
          <w:b/>
          <w:bCs/>
        </w:rPr>
        <w:t xml:space="preserve">Влияет на:</w:t>
      </w:r>
      <w:r>
        <w:t xml:space="preserve"> </w:t>
      </w:r>
      <w:r>
        <w:t xml:space="preserve">Экшен</w:t>
      </w:r>
      <w:r>
        <w:t xml:space="preserve"> </w:t>
      </w:r>
      <w:r>
        <w:rPr>
          <w:rStyle w:val="VerbatimChar"/>
        </w:rPr>
        <w:t xml:space="preserve">ShowCheckFondForm</w:t>
      </w:r>
      <w:r>
        <w:t xml:space="preserve"> </w:t>
      </w:r>
      <w:r>
        <w:t xml:space="preserve">— после актуализации данных о текущей проверке в поле 910, обновленное поле копируется в указанную метку (например,</w:t>
      </w:r>
      <w:r>
        <w:t xml:space="preserve"> </w:t>
      </w:r>
      <w:r>
        <w:rPr>
          <w:rStyle w:val="VerbatimChar"/>
        </w:rPr>
        <w:t xml:space="preserve">9101</w:t>
      </w:r>
      <w:r>
        <w:t xml:space="preserve">). Добавление нового повторения происходит</w:t>
      </w:r>
      <w:r>
        <w:t xml:space="preserve"> </w:t>
      </w:r>
      <w:r>
        <w:rPr>
          <w:b/>
          <w:bCs/>
        </w:rPr>
        <w:t xml:space="preserve">только если его содержимое отличается от последнего добавленного</w:t>
      </w:r>
      <w:r>
        <w:t xml:space="preserve">, что предотвращает дублирование идентичных исторических записей при случайном повторном сканировании.</w:t>
      </w:r>
    </w:p>
    <w:bookmarkEnd w:id="48"/>
    <w:bookmarkStart w:id="49" w:name="подполе-для-цены-checkfondpricesubfield"/>
    <w:p>
      <w:pPr>
        <w:pStyle w:val="Heading4"/>
      </w:pPr>
      <w:r>
        <w:t xml:space="preserve">6.9. Подполе для цены (</w:t>
      </w:r>
      <w:r>
        <w:rPr>
          <w:rStyle w:val="VerbatimChar"/>
        </w:rPr>
        <w:t xml:space="preserve">checkFondPriceSubfield</w:t>
      </w:r>
      <w:r>
        <w:t xml:space="preserve">)</w:t>
      </w:r>
    </w:p>
    <w:p>
      <w:pPr>
        <w:pStyle w:val="FirstParagraph"/>
      </w:pPr>
      <w:r>
        <w:t xml:space="preserve">Символ подполя цены экземпляра (по умолчанию</w:t>
      </w:r>
      <w:r>
        <w:t xml:space="preserve"> </w:t>
      </w:r>
      <w:r>
        <w:rPr>
          <w:rStyle w:val="VerbatimChar"/>
        </w:rPr>
        <w:t xml:space="preserve">E</w:t>
      </w:r>
      <w:r>
        <w:t xml:space="preserve">).</w:t>
      </w:r>
    </w:p>
    <w:p>
      <w:pPr>
        <w:pStyle w:val="Compact"/>
        <w:numPr>
          <w:ilvl w:val="0"/>
          <w:numId w:val="1052"/>
        </w:numPr>
      </w:pPr>
      <w:r>
        <w:rPr>
          <w:b/>
          <w:bCs/>
        </w:rPr>
        <w:t xml:space="preserve">Влияет на:</w:t>
      </w:r>
      <w:r>
        <w:t xml:space="preserve"> </w:t>
      </w:r>
      <w:r>
        <w:t xml:space="preserve">Экшен</w:t>
      </w:r>
      <w:r>
        <w:t xml:space="preserve"> </w:t>
      </w:r>
      <w:r>
        <w:rPr>
          <w:rStyle w:val="VerbatimChar"/>
        </w:rPr>
        <w:t xml:space="preserve">ShowCheckFondForm</w:t>
      </w:r>
      <w:r>
        <w:t xml:space="preserve"> </w:t>
      </w:r>
      <w:r>
        <w:t xml:space="preserve">— вывод цены в результатах на странице инвентаризации. Если цена в 910 поле отсутствует, система автоматически попытается подставить значение из поля</w:t>
      </w:r>
      <w:r>
        <w:t xml:space="preserve"> </w:t>
      </w:r>
      <w:r>
        <w:rPr>
          <w:rStyle w:val="VerbatimChar"/>
        </w:rPr>
        <w:t xml:space="preserve">10^D</w:t>
      </w:r>
      <w:r>
        <w:t xml:space="preserve"> </w:t>
      </w:r>
      <w:r>
        <w:t xml:space="preserve">библиографического описания.</w:t>
      </w:r>
    </w:p>
    <w:bookmarkEnd w:id="49"/>
    <w:bookmarkStart w:id="50" w:name="X4b126bcaa1fffc925aaedd219ee33f7f4541ad4"/>
    <w:p>
      <w:pPr>
        <w:pStyle w:val="Heading4"/>
      </w:pPr>
      <w:r>
        <w:t xml:space="preserve">6.10. Лимит записей в архиве проверок (</w:t>
      </w:r>
      <w:r>
        <w:rPr>
          <w:rStyle w:val="VerbatimChar"/>
        </w:rPr>
        <w:t xml:space="preserve">checkFondArchiveLimit</w:t>
      </w:r>
      <w:r>
        <w:t xml:space="preserve">)</w:t>
      </w:r>
    </w:p>
    <w:p>
      <w:pPr>
        <w:pStyle w:val="FirstParagraph"/>
      </w:pPr>
      <w:r>
        <w:t xml:space="preserve">Количество последних сеансов сканирования, которые хранятся в архиве (по умолчанию 100).</w:t>
      </w:r>
      <w:r>
        <w:t xml:space="preserve"> </w:t>
      </w:r>
      <w:r>
        <w:t xml:space="preserve">Если указать значение</w:t>
      </w:r>
      <w:r>
        <w:t xml:space="preserve"> </w:t>
      </w:r>
      <w:r>
        <w:rPr>
          <w:rStyle w:val="VerbatimChar"/>
        </w:rPr>
        <w:t xml:space="preserve">0</w:t>
      </w:r>
      <w:r>
        <w:t xml:space="preserve"> </w:t>
      </w:r>
      <w:r>
        <w:t xml:space="preserve">или отрицательное число, система проигнорирует его и применит лимит в 100 записей (сделать архив безлимитным или отключить его таким образом нельзя).</w:t>
      </w:r>
    </w:p>
    <w:p>
      <w:pPr>
        <w:pStyle w:val="Compact"/>
        <w:numPr>
          <w:ilvl w:val="0"/>
          <w:numId w:val="1053"/>
        </w:numPr>
      </w:pPr>
      <w:r>
        <w:rPr>
          <w:b/>
          <w:bCs/>
        </w:rPr>
        <w:t xml:space="preserve">Влияет на:</w:t>
      </w:r>
    </w:p>
    <w:p>
      <w:pPr>
        <w:pStyle w:val="Compact"/>
        <w:numPr>
          <w:ilvl w:val="1"/>
          <w:numId w:val="1054"/>
        </w:numPr>
      </w:pPr>
      <w:r>
        <w:t xml:space="preserve">Экшен</w:t>
      </w:r>
      <w:r>
        <w:t xml:space="preserve"> </w:t>
      </w:r>
      <w:r>
        <w:rPr>
          <w:rStyle w:val="VerbatimChar"/>
        </w:rPr>
        <w:t xml:space="preserve">ShowCheckFondForm</w:t>
      </w:r>
      <w:r>
        <w:t xml:space="preserve"> </w:t>
      </w:r>
      <w:r>
        <w:t xml:space="preserve">— автоматическая очистка старых сеансов из локальной БД</w:t>
      </w:r>
      <w:r>
        <w:t xml:space="preserve"> </w:t>
      </w:r>
      <w:r>
        <w:rPr>
          <w:rStyle w:val="VerbatimChar"/>
        </w:rPr>
        <w:t xml:space="preserve">ProvFondArchive.db</w:t>
      </w:r>
      <w:r>
        <w:t xml:space="preserve"> </w:t>
      </w:r>
      <w:r>
        <w:t xml:space="preserve">при добавлении новых.</w:t>
      </w:r>
    </w:p>
    <w:p>
      <w:pPr>
        <w:pStyle w:val="Compact"/>
        <w:numPr>
          <w:ilvl w:val="1"/>
          <w:numId w:val="1054"/>
        </w:numPr>
      </w:pPr>
      <w:r>
        <w:t xml:space="preserve">Страницу</w:t>
      </w:r>
      <w:r>
        <w:t xml:space="preserve"> </w:t>
      </w:r>
      <w:r>
        <w:rPr>
          <w:rStyle w:val="VerbatimChar"/>
        </w:rPr>
        <w:t xml:space="preserve">Complectator/ProvFondArchive</w:t>
      </w:r>
      <w:r>
        <w:t xml:space="preserve"> </w:t>
      </w:r>
      <w:r>
        <w:t xml:space="preserve">— ограничивает максимальное количество доступных для просмотра записей в архиве.</w:t>
      </w:r>
    </w:p>
    <w:bookmarkEnd w:id="50"/>
    <w:bookmarkEnd w:id="51"/>
    <w:bookmarkStart w:id="52" w:name="X7ef6addf52e3e43af95f4a830cbc96fa488923d"/>
    <w:p>
      <w:pPr>
        <w:pStyle w:val="Heading3"/>
      </w:pPr>
      <w:r>
        <w:t xml:space="preserve">7. Правила определения места хранения по полке (</w:t>
      </w:r>
      <w:r>
        <w:rPr>
          <w:rStyle w:val="VerbatimChar"/>
        </w:rPr>
        <w:t xml:space="preserve">shelfMhrRules</w:t>
      </w:r>
      <w:r>
        <w:t xml:space="preserve">)</w:t>
      </w:r>
    </w:p>
    <w:p>
      <w:pPr>
        <w:pStyle w:val="FirstParagraph"/>
      </w:pPr>
      <w:r>
        <w:t xml:space="preserve">Позволяет задать диапазоны штрих-кодов полок и соответствующее им место хранения.</w:t>
      </w:r>
      <w:r>
        <w:t xml:space="preserve"> </w:t>
      </w:r>
      <w:r>
        <w:t xml:space="preserve">Список доступных мест хранения для правил подгружается из справочника</w:t>
      </w:r>
      <w:r>
        <w:t xml:space="preserve"> </w:t>
      </w:r>
      <w:r>
        <w:rPr>
          <w:rStyle w:val="VerbatimChar"/>
        </w:rPr>
        <w:t xml:space="preserve">mhr.mnu</w:t>
      </w:r>
      <w:r>
        <w:t xml:space="preserve"> </w:t>
      </w:r>
      <w:r>
        <w:t xml:space="preserve">базы данных комплектования.</w:t>
      </w:r>
      <w:r>
        <w:t xml:space="preserve"> </w:t>
      </w:r>
      <w:r>
        <w:t xml:space="preserve">Сравнение диапазонов происходит по принципу сравнения строк, поэтому для корректной работы диапазонов важно соблюдать ведущие нули (например, от</w:t>
      </w:r>
      <w:r>
        <w:t xml:space="preserve"> </w:t>
      </w:r>
      <w:r>
        <w:rPr>
          <w:rStyle w:val="VerbatimChar"/>
        </w:rPr>
        <w:t xml:space="preserve">00000010</w:t>
      </w:r>
      <w:r>
        <w:t xml:space="preserve"> </w:t>
      </w:r>
      <w:r>
        <w:t xml:space="preserve">до</w:t>
      </w:r>
      <w:r>
        <w:t xml:space="preserve"> </w:t>
      </w:r>
      <w:r>
        <w:rPr>
          <w:rStyle w:val="VerbatimChar"/>
        </w:rPr>
        <w:t xml:space="preserve">09999999</w:t>
      </w:r>
      <w:r>
        <w:t xml:space="preserve">).</w:t>
      </w:r>
    </w:p>
    <w:p>
      <w:pPr>
        <w:pStyle w:val="Compact"/>
        <w:numPr>
          <w:ilvl w:val="0"/>
          <w:numId w:val="1055"/>
        </w:numPr>
      </w:pPr>
      <w:r>
        <w:rPr>
          <w:b/>
          <w:bCs/>
        </w:rPr>
        <w:t xml:space="preserve">Влияет на:</w:t>
      </w:r>
    </w:p>
    <w:p>
      <w:pPr>
        <w:pStyle w:val="Compact"/>
        <w:numPr>
          <w:ilvl w:val="1"/>
          <w:numId w:val="1056"/>
        </w:numPr>
      </w:pPr>
      <w:r>
        <w:t xml:space="preserve">Класс</w:t>
      </w:r>
      <w:r>
        <w:t xml:space="preserve"> </w:t>
      </w:r>
      <w:r>
        <w:rPr>
          <w:rStyle w:val="VerbatimChar"/>
        </w:rPr>
        <w:t xml:space="preserve">Complectator</w:t>
      </w:r>
      <w:r>
        <w:t xml:space="preserve"> </w:t>
      </w:r>
      <w:r>
        <w:t xml:space="preserve">(функция</w:t>
      </w:r>
      <w:r>
        <w:t xml:space="preserve"> </w:t>
      </w:r>
      <w:r>
        <w:rPr>
          <w:rStyle w:val="VerbatimChar"/>
        </w:rPr>
        <w:t xml:space="preserve">GetMhrByShelf</w:t>
      </w:r>
      <w:r>
        <w:t xml:space="preserve"> </w:t>
      </w:r>
      <w:r>
        <w:t xml:space="preserve">в</w:t>
      </w:r>
      <w:r>
        <w:t xml:space="preserve"> </w:t>
      </w:r>
      <w:r>
        <w:rPr>
          <w:rStyle w:val="VerbatimChar"/>
        </w:rPr>
        <w:t xml:space="preserve">api.php</w:t>
      </w:r>
      <w:r>
        <w:t xml:space="preserve">) — определение места хранения по штрих-коду полки.</w:t>
      </w:r>
      <w:r>
        <w:t xml:space="preserve"> </w:t>
      </w:r>
      <w:r>
        <w:t xml:space="preserve">Если диапазоны пересекаются, применяется первое совпавшее правило (порядок расположения правил имеет значение).</w:t>
      </w:r>
    </w:p>
    <w:p>
      <w:pPr>
        <w:pStyle w:val="Compact"/>
        <w:numPr>
          <w:ilvl w:val="1"/>
          <w:numId w:val="1056"/>
        </w:numPr>
      </w:pPr>
      <w:r>
        <w:t xml:space="preserve">Экшен</w:t>
      </w:r>
      <w:r>
        <w:t xml:space="preserve"> </w:t>
      </w:r>
      <w:r>
        <w:rPr>
          <w:rStyle w:val="VerbatimChar"/>
        </w:rPr>
        <w:t xml:space="preserve">ShowCheckFondForm</w:t>
      </w:r>
      <w:r>
        <w:t xml:space="preserve"> </w:t>
      </w:r>
      <w:r>
        <w:t xml:space="preserve">— при включенной единой форме ввода автоматически подставляет место хранения по отсканированному штрих-коду полки, применяя найденное место ко всем последующим книгам до сканирования новой полки.</w:t>
      </w:r>
    </w:p>
    <w:p>
      <w:pPr>
        <w:pStyle w:val="FirstParagraph"/>
      </w:pPr>
      <w:r>
        <w:t xml:space="preserve">@@</w:t>
      </w:r>
      <w:r>
        <w:t xml:space="preserve">@warn</w:t>
      </w:r>
      <w:r>
        <w:t xml:space="preserve"> </w:t>
      </w:r>
      <w:r>
        <w:t xml:space="preserve">Если отсканированный штрих-код полки не попадает ни в один из заданных диапазонов, система не распознает его как полку. Он будет обработан как штрих-код книги (что приведет к ошибке «ЗАПИСЬ НЕ НАЙДЕНА»), а все следующие за ним книги будут ошибочно привязаны к предыдущей распознанной полке (или вызовут ошибку, если полка еще не была задана).</w:t>
      </w:r>
      <w:r>
        <w:t xml:space="preserve"> </w:t>
      </w:r>
      <w:r>
        <w:t xml:space="preserve">Также убедитесь, что диапазоны штрих-кодов полок не пересекаются с инвентарными номерами или штрих-кодами книг, иначе книга может быть ошибочно распознана как полка.</w:t>
      </w:r>
      <w:r>
        <w:t xml:space="preserve"> </w:t>
      </w:r>
      <w:r>
        <w:t xml:space="preserve">@@@</w:t>
      </w:r>
    </w:p>
    <w:bookmarkEnd w:id="52"/>
    <w:bookmarkStart w:id="53" w:name="Xdbcb84f4e030cc3552da8b704b9cc0d7ef91eff"/>
    <w:p>
      <w:pPr>
        <w:pStyle w:val="Heading3"/>
      </w:pPr>
      <w:r>
        <w:t xml:space="preserve">8. Важные технические особенности (для системного администратора)</w:t>
      </w:r>
    </w:p>
    <w:p>
      <w:pPr>
        <w:pStyle w:val="FirstParagraph"/>
      </w:pPr>
      <w:r>
        <w:t xml:space="preserve">Хотя большинство параметров гибко настраивается, некоторые поисковые алгоритмы проверки жестко зашиты в коде модуля. Для корректной работы сервиса убедитесь, что ваши поисковые словари (FST) в базах данных соответствуют следующим требованиям:</w:t>
      </w:r>
    </w:p>
    <w:p>
      <w:pPr>
        <w:pStyle w:val="Compact"/>
        <w:numPr>
          <w:ilvl w:val="0"/>
          <w:numId w:val="1057"/>
        </w:numPr>
      </w:pPr>
      <w:r>
        <w:rPr>
          <w:b/>
          <w:bCs/>
        </w:rPr>
        <w:t xml:space="preserve">Поиск изданий в электронном каталоге:</w:t>
      </w:r>
      <w:r>
        <w:t xml:space="preserve"> </w:t>
      </w:r>
      <w:r>
        <w:t xml:space="preserve">При сканировании система ищет библиографическую запись в выбранных базах каталога с использованием префиксов</w:t>
      </w:r>
      <w:r>
        <w:t xml:space="preserve"> </w:t>
      </w:r>
      <w:r>
        <w:rPr>
          <w:rStyle w:val="VerbatimChar"/>
        </w:rPr>
        <w:t xml:space="preserve">IN=</w:t>
      </w:r>
      <w:r>
        <w:t xml:space="preserve"> </w:t>
      </w:r>
      <w:r>
        <w:t xml:space="preserve">(штрих-код) и</w:t>
      </w:r>
      <w:r>
        <w:t xml:space="preserve"> </w:t>
      </w:r>
      <w:r>
        <w:rPr>
          <w:rStyle w:val="VerbatimChar"/>
        </w:rPr>
        <w:t xml:space="preserve">B=</w:t>
      </w:r>
      <w:r>
        <w:t xml:space="preserve"> </w:t>
      </w:r>
      <w:r>
        <w:t xml:space="preserve">(инвентарный номер). После нахождения записи обновляется то повторение поля 910, где значение совпало с настроенным подполем штрих-кода (</w:t>
      </w:r>
      <w:r>
        <w:rPr>
          <w:rStyle w:val="VerbatimChar"/>
        </w:rPr>
        <w:t xml:space="preserve">checkFondBarcodeSubfield</w:t>
      </w:r>
      <w:r>
        <w:t xml:space="preserve">) или инвентарного номера (</w:t>
      </w:r>
      <w:r>
        <w:rPr>
          <w:rStyle w:val="VerbatimChar"/>
        </w:rPr>
        <w:t xml:space="preserve">checkFondInvNumSubfield</w:t>
      </w:r>
      <w:r>
        <w:t xml:space="preserve">).</w:t>
      </w:r>
    </w:p>
    <w:p>
      <w:pPr>
        <w:pStyle w:val="Compact"/>
        <w:numPr>
          <w:ilvl w:val="0"/>
          <w:numId w:val="1057"/>
        </w:numPr>
      </w:pPr>
      <w:r>
        <w:rPr>
          <w:b/>
          <w:bCs/>
        </w:rPr>
        <w:t xml:space="preserve">Поиск сводного описания журнала:</w:t>
      </w:r>
      <w:r>
        <w:t xml:space="preserve"> </w:t>
      </w:r>
      <w:r>
        <w:t xml:space="preserve">При сканировании номеров журналов (тип записи</w:t>
      </w:r>
      <w:r>
        <w:t xml:space="preserve"> </w:t>
      </w:r>
      <w:r>
        <w:rPr>
          <w:rStyle w:val="VerbatimChar"/>
        </w:rPr>
        <w:t xml:space="preserve">NJ</w:t>
      </w:r>
      <w:r>
        <w:t xml:space="preserve">) система для полноты отображения пытается найти сводное описание журнала по префиксу</w:t>
      </w:r>
      <w:r>
        <w:t xml:space="preserve"> </w:t>
      </w:r>
      <w:r>
        <w:rPr>
          <w:rStyle w:val="VerbatimChar"/>
        </w:rPr>
        <w:t xml:space="preserve">I=</w:t>
      </w:r>
      <w:r>
        <w:t xml:space="preserve"> </w:t>
      </w:r>
      <w:r>
        <w:t xml:space="preserve">(ищется шифр, указанный в поле 933 номера). Из найденной сводной записи извлекаются город (</w:t>
      </w:r>
      <w:r>
        <w:rPr>
          <w:rStyle w:val="VerbatimChar"/>
        </w:rPr>
        <w:t xml:space="preserve">210^A</w:t>
      </w:r>
      <w:r>
        <w:t xml:space="preserve">) и первые сведения об ответственности (</w:t>
      </w:r>
      <w:r>
        <w:rPr>
          <w:rStyle w:val="VerbatimChar"/>
        </w:rPr>
        <w:t xml:space="preserve">200^A</w:t>
      </w:r>
      <w:r>
        <w:t xml:space="preserve">), а год, том и номер берутся из самой записи экземпляра (</w:t>
      </w:r>
      <w:r>
        <w:rPr>
          <w:rStyle w:val="VerbatimChar"/>
        </w:rPr>
        <w:t xml:space="preserve">934</w:t>
      </w:r>
      <w:r>
        <w:t xml:space="preserve">,</w:t>
      </w:r>
      <w:r>
        <w:t xml:space="preserve"> </w:t>
      </w:r>
      <w:r>
        <w:rPr>
          <w:rStyle w:val="VerbatimChar"/>
        </w:rPr>
        <w:t xml:space="preserve">935</w:t>
      </w:r>
      <w:r>
        <w:t xml:space="preserve">,</w:t>
      </w:r>
      <w:r>
        <w:t xml:space="preserve"> </w:t>
      </w:r>
      <w:r>
        <w:rPr>
          <w:rStyle w:val="VerbatimChar"/>
        </w:rPr>
        <w:t xml:space="preserve">936</w:t>
      </w:r>
      <w:r>
        <w:t xml:space="preserve">).</w:t>
      </w:r>
    </w:p>
    <w:p>
      <w:pPr>
        <w:pStyle w:val="Compact"/>
        <w:numPr>
          <w:ilvl w:val="0"/>
          <w:numId w:val="1057"/>
        </w:numPr>
      </w:pPr>
      <w:r>
        <w:rPr>
          <w:b/>
          <w:bCs/>
        </w:rPr>
        <w:t xml:space="preserve">Различение ошибок отсутствия:</w:t>
      </w:r>
      <w:r>
        <w:t xml:space="preserve"> </w:t>
      </w:r>
      <w:r>
        <w:t xml:space="preserve">Если библиографическая запись вовсе не найдена по префиксам</w:t>
      </w:r>
      <w:r>
        <w:t xml:space="preserve"> </w:t>
      </w:r>
      <w:r>
        <w:rPr>
          <w:rStyle w:val="VerbatimChar"/>
        </w:rPr>
        <w:t xml:space="preserve">IN=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B=</w:t>
      </w:r>
      <w:r>
        <w:t xml:space="preserve">, система выдаст ошибку</w:t>
      </w:r>
      <w:r>
        <w:t xml:space="preserve"> </w:t>
      </w:r>
      <w:r>
        <w:rPr>
          <w:b/>
          <w:bCs/>
        </w:rPr>
        <w:t xml:space="preserve">«ЗАПИСЬ НЕ НАЙДЕНА»</w:t>
      </w:r>
      <w:r>
        <w:t xml:space="preserve">. Если же запись найдена, но внутри неё нет повторения 910 поля с указанным штрих-кодом/инвентарным номером, ошибка будет детализирована как</w:t>
      </w:r>
      <w:r>
        <w:t xml:space="preserve"> </w:t>
      </w:r>
      <w:r>
        <w:rPr>
          <w:b/>
          <w:bCs/>
        </w:rPr>
        <w:t xml:space="preserve">«НЕ НАЙДЕНО В ЭКЗЕМПЛЯРАХ»</w:t>
      </w:r>
      <w:r>
        <w:t xml:space="preserve">.</w:t>
      </w:r>
    </w:p>
    <w:p>
      <w:pPr>
        <w:pStyle w:val="Compact"/>
        <w:numPr>
          <w:ilvl w:val="0"/>
          <w:numId w:val="1057"/>
        </w:numPr>
      </w:pPr>
      <w:r>
        <w:rPr>
          <w:b/>
          <w:bCs/>
        </w:rPr>
        <w:t xml:space="preserve">Дублирование штрих-кодов в записи:</w:t>
      </w:r>
      <w:r>
        <w:t xml:space="preserve"> </w:t>
      </w:r>
      <w:r>
        <w:t xml:space="preserve">Если в библиографической записи из-за ошибки каталогизации заведено несколько повторений 910 поля с одинаковым штрих-кодом или инвентарным номером, система обновит статус и данные проверки только у</w:t>
      </w:r>
      <w:r>
        <w:t xml:space="preserve"> </w:t>
      </w:r>
      <w:r>
        <w:rPr>
          <w:b/>
          <w:bCs/>
        </w:rPr>
        <w:t xml:space="preserve">последнего</w:t>
      </w:r>
      <w:r>
        <w:t xml:space="preserve"> </w:t>
      </w:r>
      <w:r>
        <w:t xml:space="preserve">найденного повторения.</w:t>
      </w:r>
    </w:p>
    <w:p>
      <w:pPr>
        <w:pStyle w:val="Compact"/>
        <w:numPr>
          <w:ilvl w:val="0"/>
          <w:numId w:val="1057"/>
        </w:numPr>
      </w:pPr>
      <w:r>
        <w:rPr>
          <w:b/>
          <w:bCs/>
        </w:rPr>
        <w:t xml:space="preserve">Формирование отчета:</w:t>
      </w:r>
      <w:r>
        <w:t xml:space="preserve"> </w:t>
      </w:r>
      <w:r>
        <w:t xml:space="preserve">Для успешной генерации отчета по фонду (</w:t>
      </w:r>
      <w:r>
        <w:rPr>
          <w:rStyle w:val="VerbatimChar"/>
        </w:rPr>
        <w:t xml:space="preserve">ProvFondReport</w:t>
      </w:r>
      <w:r>
        <w:t xml:space="preserve">) в электронном каталоге должен присутствовать поисковый индекс с префиксом</w:t>
      </w:r>
      <w:r>
        <w:t xml:space="preserve"> </w:t>
      </w:r>
      <w:r>
        <w:rPr>
          <w:rStyle w:val="VerbatimChar"/>
        </w:rPr>
        <w:t xml:space="preserve">MHR=</w:t>
      </w:r>
      <w:r>
        <w:t xml:space="preserve"> </w:t>
      </w:r>
      <w:r>
        <w:t xml:space="preserve">(Место хранения), а для полного учета уже проверенных экземпляров — индекс фактического места хранения с префиксом</w:t>
      </w:r>
      <w:r>
        <w:t xml:space="preserve"> </w:t>
      </w:r>
      <w:r>
        <w:rPr>
          <w:rStyle w:val="VerbatimChar"/>
        </w:rPr>
        <w:t xml:space="preserve">INPF=</w:t>
      </w:r>
      <w:r>
        <w:t xml:space="preserve">. После изменения FST соответствующие базы нужно переиндексировать. Для стабильной работы при больших объемах данных система запрашивает записи порциями до 5000 штук и продолжает чтение до конца найденной выборки.</w:t>
      </w:r>
    </w:p>
    <w:p>
      <w:pPr>
        <w:pStyle w:val="Compact"/>
        <w:numPr>
          <w:ilvl w:val="0"/>
          <w:numId w:val="1057"/>
        </w:numPr>
      </w:pPr>
      <w:r>
        <w:rPr>
          <w:b/>
          <w:bCs/>
        </w:rPr>
        <w:t xml:space="preserve">Фильтрация отчета по полке:</w:t>
      </w:r>
      <w:r>
        <w:t xml:space="preserve"> </w:t>
      </w:r>
      <w:r>
        <w:t xml:space="preserve">При запросе отчета с указанием номера полки фильтрация по ней происходит программно (в оперативной памяти). Система сначала загружает все записи выбранного места хранения по индексам</w:t>
      </w:r>
      <w:r>
        <w:t xml:space="preserve"> </w:t>
      </w:r>
      <w:r>
        <w:rPr>
          <w:rStyle w:val="VerbatimChar"/>
        </w:rPr>
        <w:t xml:space="preserve">MHR=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INPF=</w:t>
      </w:r>
      <w:r>
        <w:t xml:space="preserve">, а затем отсеивает экземпляры с неподходящей полкой. При значительных объемах фонда в одном месте хранения это может требовать дополнительного времени (что объясняет системное увеличение лимита времени выполнения отчета до 10 минут).</w:t>
      </w:r>
    </w:p>
    <w:p>
      <w:pPr>
        <w:pStyle w:val="Compact"/>
        <w:numPr>
          <w:ilvl w:val="0"/>
          <w:numId w:val="1057"/>
        </w:numPr>
      </w:pPr>
      <w:r>
        <w:rPr>
          <w:b/>
          <w:bCs/>
        </w:rPr>
        <w:t xml:space="preserve">Поиск информации о выдаче в базе читателей:</w:t>
      </w:r>
      <w:r>
        <w:t xml:space="preserve"> </w:t>
      </w:r>
      <w:r>
        <w:t xml:space="preserve">При формировании отчета для проверки корректности статуса «Выдано» (Статус 1), система ищет читателя с данным экземпляром на руках по префиксам</w:t>
      </w:r>
      <w:r>
        <w:t xml:space="preserve"> </w:t>
      </w:r>
      <w:r>
        <w:rPr>
          <w:rStyle w:val="VerbatimChar"/>
        </w:rPr>
        <w:t xml:space="preserve">H=</w:t>
      </w:r>
      <w:r>
        <w:t xml:space="preserve"> </w:t>
      </w:r>
      <w:r>
        <w:t xml:space="preserve">(по штрих-коду) и</w:t>
      </w:r>
      <w:r>
        <w:t xml:space="preserve"> </w:t>
      </w:r>
      <w:r>
        <w:rPr>
          <w:rStyle w:val="VerbatimChar"/>
        </w:rPr>
        <w:t xml:space="preserve">B=</w:t>
      </w:r>
      <w:r>
        <w:t xml:space="preserve"> </w:t>
      </w:r>
      <w:r>
        <w:t xml:space="preserve">(по инвентарному номеру) среди выданной литературы. Название базы читателей берется из настроек модуля</w:t>
      </w:r>
      <w:r>
        <w:t xml:space="preserve"> </w:t>
      </w:r>
      <w:r>
        <w:rPr>
          <w:rStyle w:val="VerbatimChar"/>
        </w:rPr>
        <w:t xml:space="preserve">Bookland</w:t>
      </w:r>
      <w:r>
        <w:t xml:space="preserve">, а если не задано — по умолчанию используется БД</w:t>
      </w:r>
      <w:r>
        <w:t xml:space="preserve"> </w:t>
      </w:r>
      <w:r>
        <w:rPr>
          <w:rStyle w:val="VerbatimChar"/>
        </w:rPr>
        <w:t xml:space="preserve">RDR</w:t>
      </w:r>
      <w:r>
        <w:t xml:space="preserve">. Если книга числится выданной, но была найдена при проверке на полке, система сверяет дату выдачи (извлекается из подполей</w:t>
      </w:r>
      <w:r>
        <w:t xml:space="preserve"> </w:t>
      </w:r>
      <w:r>
        <w:rPr>
          <w:rStyle w:val="VerbatimChar"/>
        </w:rPr>
        <w:t xml:space="preserve">40^D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40^d</w:t>
      </w:r>
      <w:r>
        <w:t xml:space="preserve"> </w:t>
      </w:r>
      <w:r>
        <w:t xml:space="preserve">записи читателя) с датой проверки. Если книга выдана в день проверки или позже, это не фиксируется как ошибка (так как книга могла быть отсканирована утром, а выдана читателю днем). Если дата выдачи отсутствует или имеет некорректный формат, система пометит такую книгу как ошибочную (найденную на полке). Имя читателя в отчете строится из полей</w:t>
      </w:r>
      <w:r>
        <w:t xml:space="preserve"> </w:t>
      </w:r>
      <w:r>
        <w:rPr>
          <w:rStyle w:val="VerbatimChar"/>
        </w:rPr>
        <w:t xml:space="preserve">10</w:t>
      </w:r>
      <w:r>
        <w:t xml:space="preserve">,</w:t>
      </w:r>
      <w:r>
        <w:t xml:space="preserve"> </w:t>
      </w:r>
      <w:r>
        <w:rPr>
          <w:rStyle w:val="VerbatimChar"/>
        </w:rPr>
        <w:t xml:space="preserve">11</w:t>
      </w:r>
      <w:r>
        <w:t xml:space="preserve">,</w:t>
      </w:r>
      <w:r>
        <w:t xml:space="preserve"> </w:t>
      </w:r>
      <w:r>
        <w:rPr>
          <w:rStyle w:val="VerbatimChar"/>
        </w:rPr>
        <w:t xml:space="preserve">12</w:t>
      </w:r>
      <w:r>
        <w:t xml:space="preserve">, а при их отсутствии — из</w:t>
      </w:r>
      <w:r>
        <w:t xml:space="preserve"> </w:t>
      </w:r>
      <w:r>
        <w:rPr>
          <w:rStyle w:val="VerbatimChar"/>
        </w:rPr>
        <w:t xml:space="preserve">30^A</w:t>
      </w:r>
      <w:r>
        <w:t xml:space="preserve"> </w:t>
      </w:r>
      <w:r>
        <w:t xml:space="preserve">(иначе выводится «Неизвестный читатель» с указанием содержимого поля</w:t>
      </w:r>
      <w:r>
        <w:t xml:space="preserve"> </w:t>
      </w:r>
      <w:r>
        <w:rPr>
          <w:rStyle w:val="VerbatimChar"/>
        </w:rPr>
        <w:t xml:space="preserve">30</w:t>
      </w:r>
      <w:r>
        <w:t xml:space="preserve">).</w:t>
      </w:r>
    </w:p>
    <w:p>
      <w:pPr>
        <w:pStyle w:val="Compact"/>
        <w:numPr>
          <w:ilvl w:val="0"/>
          <w:numId w:val="1057"/>
        </w:numPr>
      </w:pPr>
      <w:r>
        <w:rPr>
          <w:b/>
          <w:bCs/>
        </w:rPr>
        <w:t xml:space="preserve">Очистка формата даты выдачи:</w:t>
      </w:r>
      <w:r>
        <w:t xml:space="preserve"> </w:t>
      </w:r>
      <w:r>
        <w:t xml:space="preserve">При извлечении даты выдачи из подполей</w:t>
      </w:r>
      <w:r>
        <w:t xml:space="preserve"> </w:t>
      </w:r>
      <w:r>
        <w:rPr>
          <w:rStyle w:val="VerbatimChar"/>
        </w:rPr>
        <w:t xml:space="preserve">40^D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40^d</w:t>
      </w:r>
      <w:r>
        <w:t xml:space="preserve"> </w:t>
      </w:r>
      <w:r>
        <w:t xml:space="preserve">система удаляет все нечисловые символы и берет первые 8 цифр. Для корректного сравнения дата в базе должна начинаться с года (в формате</w:t>
      </w:r>
      <w:r>
        <w:t xml:space="preserve"> </w:t>
      </w:r>
      <w:r>
        <w:rPr>
          <w:rStyle w:val="VerbatimChar"/>
        </w:rPr>
        <w:t xml:space="preserve">YYYYMMDD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YYYY.MM.DD</w:t>
      </w:r>
      <w:r>
        <w:t xml:space="preserve">). Использование форматов вида</w:t>
      </w:r>
      <w:r>
        <w:t xml:space="preserve"> </w:t>
      </w:r>
      <w:r>
        <w:rPr>
          <w:rStyle w:val="VerbatimChar"/>
        </w:rPr>
        <w:t xml:space="preserve">DD.MM.YYYY</w:t>
      </w:r>
      <w:r>
        <w:t xml:space="preserve"> </w:t>
      </w:r>
      <w:r>
        <w:t xml:space="preserve">приведет к ошибкам валидации дат (в том числе к ложным срабатываниям об ошибках выдачи).</w:t>
      </w:r>
    </w:p>
    <w:p>
      <w:pPr>
        <w:pStyle w:val="Compact"/>
        <w:numPr>
          <w:ilvl w:val="0"/>
          <w:numId w:val="1057"/>
        </w:numPr>
      </w:pPr>
      <w:r>
        <w:rPr>
          <w:b/>
          <w:bCs/>
        </w:rPr>
        <w:t xml:space="preserve">Кросс-проверка штрих-кодов в БД читателей:</w:t>
      </w:r>
      <w:r>
        <w:t xml:space="preserve"> </w:t>
      </w:r>
      <w:r>
        <w:t xml:space="preserve">В отчете при сопоставлении найденного читателя система использует дополнительную страховку: штрих-код экземпляра из ЭК сверяется не только со штрих-кодом в читательском билете (</w:t>
      </w:r>
      <w:r>
        <w:rPr>
          <w:rStyle w:val="VerbatimChar"/>
        </w:rPr>
        <w:t xml:space="preserve">40^H</w:t>
      </w:r>
      <w:r>
        <w:t xml:space="preserve">), но и с инвентарным номером читательского билета (</w:t>
      </w:r>
      <w:r>
        <w:rPr>
          <w:rStyle w:val="VerbatimChar"/>
        </w:rPr>
        <w:t xml:space="preserve">40^B</w:t>
      </w:r>
      <w:r>
        <w:t xml:space="preserve">). Это предотвращает ложные ошибки, если при выдаче штрих-код был ошибочно занесен в подполе инвентарного номера. В случае полного отсутствия инвентарного номера и штрих-кода у самого издания, в отчете ему будет присвоен технический идентификатор</w:t>
      </w:r>
      <w:r>
        <w:t xml:space="preserve"> </w:t>
      </w:r>
      <w:r>
        <w:rPr>
          <w:rStyle w:val="VerbatimChar"/>
        </w:rPr>
        <w:t xml:space="preserve">Без номера</w:t>
      </w:r>
      <w:r>
        <w:t xml:space="preserve">.</w:t>
      </w:r>
    </w:p>
    <w:p>
      <w:pPr>
        <w:pStyle w:val="Compact"/>
        <w:numPr>
          <w:ilvl w:val="0"/>
          <w:numId w:val="1057"/>
        </w:numPr>
      </w:pPr>
      <w:r>
        <w:rPr>
          <w:b/>
          <w:bCs/>
        </w:rPr>
        <w:t xml:space="preserve">Автоматический зачет выданных изданий:</w:t>
      </w:r>
      <w:r>
        <w:t xml:space="preserve"> </w:t>
      </w:r>
      <w:r>
        <w:t xml:space="preserve">Если в отчете экземпляр числится как выданный (статус 1) и за ним найдена запись читателя, система автоматически перенесет его в список «Найденные / Проверенные» даже в том случае, если его штрих-код</w:t>
      </w:r>
      <w:r>
        <w:t xml:space="preserve"> </w:t>
      </w:r>
      <w:r>
        <w:rPr>
          <w:b/>
          <w:bCs/>
        </w:rPr>
        <w:t xml:space="preserve">вообще не сканировался</w:t>
      </w:r>
      <w:r>
        <w:t xml:space="preserve"> </w:t>
      </w:r>
      <w:r>
        <w:t xml:space="preserve">в ходе проверки.</w:t>
      </w:r>
    </w:p>
    <w:p>
      <w:pPr>
        <w:pStyle w:val="Compact"/>
        <w:numPr>
          <w:ilvl w:val="0"/>
          <w:numId w:val="1057"/>
        </w:numPr>
      </w:pPr>
      <w:r>
        <w:rPr>
          <w:b/>
          <w:bCs/>
        </w:rPr>
        <w:t xml:space="preserve">Статусы экземпляров:</w:t>
      </w:r>
      <w:r>
        <w:t xml:space="preserve"> </w:t>
      </w:r>
      <w:r>
        <w:t xml:space="preserve">Аналитический отчет (</w:t>
      </w:r>
      <w:r>
        <w:rPr>
          <w:rStyle w:val="VerbatimChar"/>
        </w:rPr>
        <w:t xml:space="preserve">ProvFondReport</w:t>
      </w:r>
      <w:r>
        <w:t xml:space="preserve">) опирается на системный справочник</w:t>
      </w:r>
      <w:r>
        <w:t xml:space="preserve"> </w:t>
      </w:r>
      <w:r>
        <w:rPr>
          <w:rStyle w:val="VerbatimChar"/>
        </w:rPr>
        <w:t xml:space="preserve">ste.mnu</w:t>
      </w:r>
      <w:r>
        <w:t xml:space="preserve"> </w:t>
      </w:r>
      <w:r>
        <w:t xml:space="preserve">и базовые коды статусов для выявления проблем:</w:t>
      </w:r>
      <w:r>
        <w:t xml:space="preserve"> </w:t>
      </w:r>
      <w:r>
        <w:rPr>
          <w:rStyle w:val="VerbatimChar"/>
        </w:rPr>
        <w:t xml:space="preserve">0</w:t>
      </w:r>
      <w:r>
        <w:t xml:space="preserve"> </w:t>
      </w:r>
      <w:r>
        <w:t xml:space="preserve">(или пустое значение) — свободен/на полке,</w:t>
      </w:r>
      <w:r>
        <w:t xml:space="preserve"> </w:t>
      </w:r>
      <w:r>
        <w:rPr>
          <w:rStyle w:val="VerbatimChar"/>
        </w:rPr>
        <w:t xml:space="preserve">1</w:t>
      </w:r>
      <w:r>
        <w:t xml:space="preserve"> </w:t>
      </w:r>
      <w:r>
        <w:t xml:space="preserve">— выдан читателю,</w:t>
      </w:r>
      <w:r>
        <w:t xml:space="preserve"> </w:t>
      </w:r>
      <w:r>
        <w:rPr>
          <w:rStyle w:val="VerbatimChar"/>
        </w:rPr>
        <w:t xml:space="preserve">4</w:t>
      </w:r>
      <w:r>
        <w:t xml:space="preserve"> </w:t>
      </w:r>
      <w:r>
        <w:t xml:space="preserve">— утерян,</w:t>
      </w:r>
      <w:r>
        <w:t xml:space="preserve"> </w:t>
      </w:r>
      <w:r>
        <w:rPr>
          <w:rStyle w:val="VerbatimChar"/>
        </w:rPr>
        <w:t xml:space="preserve">6</w:t>
      </w:r>
      <w:r>
        <w:t xml:space="preserve"> </w:t>
      </w:r>
      <w:r>
        <w:t xml:space="preserve">— списан. При проверке статусов в 910 поле система учитывает как заглавное подполе</w:t>
      </w:r>
      <w:r>
        <w:t xml:space="preserve"> </w:t>
      </w:r>
      <w:r>
        <w:rPr>
          <w:rStyle w:val="VerbatimChar"/>
        </w:rPr>
        <w:t xml:space="preserve">^A</w:t>
      </w:r>
      <w:r>
        <w:t xml:space="preserve">, так и строчное</w:t>
      </w:r>
      <w:r>
        <w:t xml:space="preserve"> </w:t>
      </w:r>
      <w:r>
        <w:rPr>
          <w:rStyle w:val="VerbatimChar"/>
        </w:rPr>
        <w:t xml:space="preserve">^a</w:t>
      </w:r>
      <w:r>
        <w:t xml:space="preserve">. Если справочник</w:t>
      </w:r>
      <w:r>
        <w:t xml:space="preserve"> </w:t>
      </w:r>
      <w:r>
        <w:rPr>
          <w:rStyle w:val="VerbatimChar"/>
        </w:rPr>
        <w:t xml:space="preserve">ste.mnu</w:t>
      </w:r>
      <w:r>
        <w:t xml:space="preserve"> </w:t>
      </w:r>
      <w:r>
        <w:t xml:space="preserve">отсутствует или статус в нем не найден, пустой статус (или</w:t>
      </w:r>
      <w:r>
        <w:t xml:space="preserve"> </w:t>
      </w:r>
      <w:r>
        <w:rPr>
          <w:rStyle w:val="VerbatimChar"/>
        </w:rPr>
        <w:t xml:space="preserve">0</w:t>
      </w:r>
      <w:r>
        <w:t xml:space="preserve">) будет отображен как «Свободен (на полке)», а неизвестный код — как «Статус N».</w:t>
      </w:r>
    </w:p>
    <w:p>
      <w:pPr>
        <w:pStyle w:val="Compact"/>
        <w:numPr>
          <w:ilvl w:val="0"/>
          <w:numId w:val="1057"/>
        </w:numPr>
      </w:pPr>
      <w:r>
        <w:rPr>
          <w:b/>
          <w:bCs/>
        </w:rPr>
        <w:t xml:space="preserve">Очистка данных при экспорте в CSV:</w:t>
      </w:r>
      <w:r>
        <w:t xml:space="preserve"> </w:t>
      </w:r>
      <w:r>
        <w:t xml:space="preserve">При выгрузке отчета</w:t>
      </w:r>
      <w:r>
        <w:t xml:space="preserve"> </w:t>
      </w:r>
      <w:r>
        <w:rPr>
          <w:rStyle w:val="VerbatimChar"/>
        </w:rPr>
        <w:t xml:space="preserve">ProvFondReport</w:t>
      </w:r>
      <w:r>
        <w:t xml:space="preserve"> </w:t>
      </w:r>
      <w:r>
        <w:t xml:space="preserve">в формате CSV библиографическое описание (которое возвращается форматом</w:t>
      </w:r>
      <w:r>
        <w:t xml:space="preserve"> </w:t>
      </w:r>
      <w:r>
        <w:rPr>
          <w:rStyle w:val="VerbatimChar"/>
        </w:rPr>
        <w:t xml:space="preserve">brief</w:t>
      </w:r>
      <w:r>
        <w:t xml:space="preserve">) автоматически очищается от HTML-тегов (</w:t>
      </w:r>
      <w:r>
        <w:rPr>
          <w:rStyle w:val="VerbatimChar"/>
        </w:rPr>
        <w:t xml:space="preserve">strip_tags</w:t>
      </w:r>
      <w:r>
        <w:t xml:space="preserve">) и HTML-сущностей, чтобы текст в Excel отображался без служебной разметки.</w:t>
      </w:r>
    </w:p>
    <w:p>
      <w:pPr>
        <w:pStyle w:val="Compact"/>
        <w:numPr>
          <w:ilvl w:val="0"/>
          <w:numId w:val="1057"/>
        </w:numPr>
      </w:pPr>
      <w:r>
        <w:rPr>
          <w:b/>
          <w:bCs/>
        </w:rPr>
        <w:t xml:space="preserve">Очистка вводимых данных:</w:t>
      </w:r>
      <w:r>
        <w:t xml:space="preserve"> </w:t>
      </w:r>
      <w:r>
        <w:t xml:space="preserve">При обработке введенного вручную списка (или загруженного из файла) система автоматически обрезает пробелы и невидимые символы по краям (</w:t>
      </w:r>
      <w:r>
        <w:rPr>
          <w:rStyle w:val="VerbatimChar"/>
        </w:rPr>
        <w:t xml:space="preserve">trim()</w:t>
      </w:r>
      <w:r>
        <w:t xml:space="preserve">), а также игнорирует пустые строки. Это гарантирует бесперебойную работу при смешанном формате окончаний строк (Windows/Linux) в файлах ТСД.</w:t>
      </w:r>
    </w:p>
    <w:p>
      <w:pPr>
        <w:pStyle w:val="Compact"/>
        <w:numPr>
          <w:ilvl w:val="0"/>
          <w:numId w:val="1057"/>
        </w:numPr>
      </w:pPr>
      <w:r>
        <w:rPr>
          <w:b/>
          <w:bCs/>
        </w:rPr>
        <w:t xml:space="preserve">Тестирование звукового сигнала:</w:t>
      </w:r>
      <w:r>
        <w:t xml:space="preserve"> </w:t>
      </w:r>
      <w:r>
        <w:t xml:space="preserve">Кнопка управления звуком на странице проверки фонда при ручном переключении воспроизводит короткий тестовый сигнал (синусоида 440 Гц, 0.1 с). Это позволяет проверить работоспособность аудио в браузере без необходимости искусственно вызывать реальную ошибку (которая звучит дольше и с использованием формы волны</w:t>
      </w:r>
      <w:r>
        <w:t xml:space="preserve"> </w:t>
      </w:r>
      <w:r>
        <w:rPr>
          <w:rStyle w:val="VerbatimChar"/>
        </w:rPr>
        <w:t xml:space="preserve">sawtooth</w:t>
      </w:r>
      <w:r>
        <w:t xml:space="preserve">).</w:t>
      </w:r>
    </w:p>
    <w:p>
      <w:pPr>
        <w:pStyle w:val="Compact"/>
        <w:numPr>
          <w:ilvl w:val="0"/>
          <w:numId w:val="1057"/>
        </w:numPr>
      </w:pPr>
      <w:r>
        <w:rPr>
          <w:b/>
          <w:bCs/>
        </w:rPr>
        <w:t xml:space="preserve">Физическое хранение архива:</w:t>
      </w:r>
      <w:r>
        <w:t xml:space="preserve"> </w:t>
      </w:r>
      <w:r>
        <w:t xml:space="preserve">История проведенных сеансов сохраняется в базу SQLite независимо от основного каталога. Файл базы данных располагается на сервере по пути</w:t>
      </w:r>
      <w:r>
        <w:t xml:space="preserve"> </w:t>
      </w:r>
      <w:r>
        <w:rPr>
          <w:rStyle w:val="VerbatimChar"/>
        </w:rPr>
        <w:t xml:space="preserve">[DataPath]/SQLiteData/ProvFondArchive/ProvFondArchive.db</w:t>
      </w:r>
      <w:r>
        <w:t xml:space="preserve">. При необходимости его можно архивировать или удалять для полного сброса.</w:t>
      </w:r>
    </w:p>
    <w:p>
      <w:pPr>
        <w:pStyle w:val="Compact"/>
        <w:numPr>
          <w:ilvl w:val="0"/>
          <w:numId w:val="1057"/>
        </w:numPr>
      </w:pPr>
      <w:r>
        <w:rPr>
          <w:b/>
          <w:bCs/>
        </w:rPr>
        <w:t xml:space="preserve">Режим журналирования базы архива (WAL):</w:t>
      </w:r>
      <w:r>
        <w:t xml:space="preserve"> </w:t>
      </w:r>
      <w:r>
        <w:t xml:space="preserve">Так как SQLite база архива инициализируется в режиме Write-Ahead Logging (</w:t>
      </w:r>
      <w:r>
        <w:rPr>
          <w:rStyle w:val="VerbatimChar"/>
        </w:rPr>
        <w:t xml:space="preserve">PRAGMA journal_mode=WAL;</w:t>
      </w:r>
      <w:r>
        <w:t xml:space="preserve">), рядом с файлом</w:t>
      </w:r>
      <w:r>
        <w:t xml:space="preserve"> </w:t>
      </w:r>
      <w:r>
        <w:rPr>
          <w:rStyle w:val="VerbatimChar"/>
        </w:rPr>
        <w:t xml:space="preserve">ProvFondArchive.db</w:t>
      </w:r>
      <w:r>
        <w:t xml:space="preserve"> </w:t>
      </w:r>
      <w:r>
        <w:t xml:space="preserve">будут автоматически создаваться временные файлы</w:t>
      </w:r>
      <w:r>
        <w:t xml:space="preserve"> </w:t>
      </w:r>
      <w:r>
        <w:rPr>
          <w:rStyle w:val="VerbatimChar"/>
        </w:rPr>
        <w:t xml:space="preserve">ProvFondArchive.db-wal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ProvFondArchive.db-shm</w:t>
      </w:r>
      <w:r>
        <w:t xml:space="preserve">. При ручном резервном копировании базы администратору необходимо копировать все три файла.</w:t>
      </w:r>
    </w:p>
    <w:p>
      <w:pPr>
        <w:pStyle w:val="Compact"/>
        <w:numPr>
          <w:ilvl w:val="0"/>
          <w:numId w:val="1057"/>
        </w:numPr>
      </w:pPr>
      <w:r>
        <w:rPr>
          <w:b/>
          <w:bCs/>
        </w:rPr>
        <w:t xml:space="preserve">Разблокировка Web Audio API:</w:t>
      </w:r>
      <w:r>
        <w:t xml:space="preserve"> </w:t>
      </w:r>
      <w:r>
        <w:t xml:space="preserve">Так как современные браузеры блокируют автоматическое воспроизведение звука, в скрипт встроен механизм принудительной разблокировки аудиоконтекста (</w:t>
      </w:r>
      <w:r>
        <w:rPr>
          <w:rStyle w:val="VerbatimChar"/>
        </w:rPr>
        <w:t xml:space="preserve">AudioContext</w:t>
      </w:r>
      <w:r>
        <w:t xml:space="preserve">) при первом клике или нажатии любой клавиши на странице.</w:t>
      </w:r>
    </w:p>
    <w:p>
      <w:pPr>
        <w:pStyle w:val="Compact"/>
        <w:numPr>
          <w:ilvl w:val="0"/>
          <w:numId w:val="1057"/>
        </w:numPr>
      </w:pPr>
      <w:r>
        <w:rPr>
          <w:b/>
          <w:bCs/>
        </w:rPr>
        <w:t xml:space="preserve">Таймауты веб-сервера:</w:t>
      </w:r>
      <w:r>
        <w:t xml:space="preserve"> </w:t>
      </w:r>
      <w:r>
        <w:t xml:space="preserve">Скрипты проверки штрих-кодов (</w:t>
      </w:r>
      <w:r>
        <w:rPr>
          <w:rStyle w:val="VerbatimChar"/>
        </w:rPr>
        <w:t xml:space="preserve">ShowCheckFondForm.inc</w:t>
      </w:r>
      <w:r>
        <w:t xml:space="preserve">) и генерации отчетов (</w:t>
      </w:r>
      <w:r>
        <w:rPr>
          <w:rStyle w:val="VerbatimChar"/>
        </w:rPr>
        <w:t xml:space="preserve">ProvFondReport.page</w:t>
      </w:r>
      <w:r>
        <w:t xml:space="preserve">) могут выполняться долго. Они принудительно увеличивают внутренний лимит выполнения PHP до</w:t>
      </w:r>
      <w:r>
        <w:t xml:space="preserve"> </w:t>
      </w:r>
      <w:r>
        <w:rPr>
          <w:b/>
          <w:bCs/>
        </w:rPr>
        <w:t xml:space="preserve">10 минут</w:t>
      </w:r>
      <w:r>
        <w:t xml:space="preserve"> </w:t>
      </w:r>
      <w:r>
        <w:t xml:space="preserve">(</w:t>
      </w:r>
      <w:r>
        <w:rPr>
          <w:rStyle w:val="VerbatimChar"/>
        </w:rPr>
        <w:t xml:space="preserve">ini_set('max_execution_time', 10 * 60);</w:t>
      </w:r>
      <w:r>
        <w:t xml:space="preserve">). Системному администратору нужно убедиться, что таймауты фронтенд-сервера (например,</w:t>
      </w:r>
      <w:r>
        <w:t xml:space="preserve"> </w:t>
      </w:r>
      <w:r>
        <w:rPr>
          <w:rStyle w:val="VerbatimChar"/>
        </w:rPr>
        <w:t xml:space="preserve">proxy_read_timeout</w:t>
      </w:r>
      <w:r>
        <w:t xml:space="preserve"> </w:t>
      </w:r>
      <w:r>
        <w:t xml:space="preserve">в Nginx или</w:t>
      </w:r>
      <w:r>
        <w:t xml:space="preserve"> </w:t>
      </w:r>
      <w:r>
        <w:rPr>
          <w:rStyle w:val="VerbatimChar"/>
        </w:rPr>
        <w:t xml:space="preserve">TimeOut</w:t>
      </w:r>
      <w:r>
        <w:t xml:space="preserve"> </w:t>
      </w:r>
      <w:r>
        <w:t xml:space="preserve">в Apache) также допускают ожидание ответа до 600 секунд, чтобы пользователи не сталкивались с ошибкой</w:t>
      </w:r>
      <w:r>
        <w:t xml:space="preserve"> </w:t>
      </w:r>
      <w:r>
        <w:rPr>
          <w:rStyle w:val="VerbatimChar"/>
        </w:rPr>
        <w:t xml:space="preserve">504 Gateway Time-out</w:t>
      </w:r>
      <w:r>
        <w:t xml:space="preserve">.</w:t>
      </w:r>
    </w:p>
    <w:p>
      <w:pPr>
        <w:pStyle w:val="Compact"/>
        <w:numPr>
          <w:ilvl w:val="0"/>
          <w:numId w:val="1057"/>
        </w:numPr>
      </w:pPr>
      <w:r>
        <w:rPr>
          <w:b/>
          <w:bCs/>
        </w:rPr>
        <w:t xml:space="preserve">Загрузка штрих-кодов из файла:</w:t>
      </w:r>
      <w:r>
        <w:t xml:space="preserve"> </w:t>
      </w:r>
      <w:r>
        <w:t xml:space="preserve">Прикрепленный пользователем текстовый файл (</w:t>
      </w:r>
      <w:r>
        <w:rPr>
          <w:rStyle w:val="VerbatimChar"/>
        </w:rPr>
        <w:t xml:space="preserve">.txt</w:t>
      </w:r>
      <w:r>
        <w:t xml:space="preserve">) обрабатывается путем прямого добавления его содержимого в конец списка, введенного в текстовое поле вручную, через перенос строки (</w:t>
      </w:r>
      <w:r>
        <w:rPr>
          <w:rStyle w:val="VerbatimChar"/>
        </w:rPr>
        <w:t xml:space="preserve">\n</w:t>
      </w:r>
      <w:r>
        <w:t xml:space="preserve">). К нему применяются ровно те же правила разбора, что и к тексту в форме (включая работу режима единой формы).</w:t>
      </w:r>
    </w:p>
    <w:p>
      <w:pPr>
        <w:pStyle w:val="Compact"/>
        <w:numPr>
          <w:ilvl w:val="0"/>
          <w:numId w:val="1057"/>
        </w:numPr>
      </w:pPr>
      <w:r>
        <w:rPr>
          <w:b/>
          <w:bCs/>
        </w:rPr>
        <w:t xml:space="preserve">Оптимизация при отсутствии полки:</w:t>
      </w:r>
      <w:r>
        <w:t xml:space="preserve"> </w:t>
      </w:r>
      <w:r>
        <w:t xml:space="preserve">В едином режиме ввода, если в массиве штрих-кодов встречаются книги до того, как была отсканирована первая корректная полка, скрипт вообще не выполняет запросы к БД для этих книг, сразу помечая их ошибкой</w:t>
      </w:r>
      <w:r>
        <w:t xml:space="preserve"> </w:t>
      </w:r>
      <w:r>
        <w:rPr>
          <w:rStyle w:val="VerbatimChar"/>
        </w:rPr>
        <w:t xml:space="preserve">Для этой книги не была указана полка</w:t>
      </w:r>
      <w:r>
        <w:t xml:space="preserve">, что существенно экономит ресурсы сервера.</w:t>
      </w:r>
    </w:p>
    <w:p>
      <w:pPr>
        <w:pStyle w:val="FirstParagraph"/>
      </w:pPr>
      <w:r>
        <w:t xml:space="preserve">Если в вашей библиотеке настроены другие префиксы для поисковых словарей, инвентаризация не сможет находить сканируемые записи.</w:t>
      </w:r>
    </w:p>
    <w:bookmarkEnd w:id="53"/>
    <w:bookmarkEnd w:id="54"/>
    <w:bookmarkEnd w:id="55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  <w:num w:numId="1005">
    <w:abstractNumId w:val="991"/>
  </w:num>
  <w:num w:numId="1006">
    <w:abstractNumId w:val="991"/>
  </w:num>
  <w:num w:numId="1007">
    <w:abstractNumId w:val="991"/>
  </w:num>
  <w:num w:numId="1008">
    <w:abstractNumId w:val="991"/>
  </w:num>
  <w:num w:numId="1009">
    <w:abstractNumId w:val="991"/>
  </w:num>
  <w:num w:numId="1010">
    <w:abstractNumId w:val="991"/>
  </w:num>
  <w:num w:numId="1011">
    <w:abstractNumId w:val="991"/>
  </w:num>
  <w:num w:numId="1012">
    <w:abstractNumId w:val="991"/>
  </w:num>
  <w:num w:numId="1013">
    <w:abstractNumId w:val="991"/>
  </w:num>
  <w:num w:numId="1014">
    <w:abstractNumId w:val="991"/>
  </w:num>
  <w:num w:numId="1015">
    <w:abstractNumId w:val="991"/>
  </w:num>
  <w:num w:numId="1016">
    <w:abstractNumId w:val="991"/>
  </w:num>
  <w:num w:numId="1017">
    <w:abstractNumId w:val="991"/>
  </w:num>
  <w:num w:numId="1018">
    <w:abstractNumId w:val="991"/>
  </w:num>
  <w:num w:numId="1019">
    <w:abstractNumId w:val="991"/>
  </w:num>
  <w:num w:numId="1020">
    <w:abstractNumId w:val="991"/>
  </w:num>
  <w:num w:numId="1021">
    <w:abstractNumId w:val="991"/>
  </w:num>
  <w:num w:numId="1022">
    <w:abstractNumId w:val="991"/>
  </w:num>
  <w:num w:numId="1023">
    <w:abstractNumId w:val="991"/>
  </w:num>
  <w:num w:numId="1024">
    <w:abstractNumId w:val="991"/>
  </w:num>
  <w:num w:numId="1025">
    <w:abstractNumId w:val="991"/>
  </w:num>
  <w:num w:numId="1026">
    <w:abstractNumId w:val="991"/>
  </w:num>
  <w:num w:numId="1027">
    <w:abstractNumId w:val="991"/>
  </w:num>
  <w:num w:numId="1028">
    <w:abstractNumId w:val="991"/>
  </w:num>
  <w:num w:numId="1029">
    <w:abstractNumId w:val="991"/>
  </w:num>
  <w:num w:numId="1030">
    <w:abstractNumId w:val="991"/>
  </w:num>
  <w:num w:numId="1031">
    <w:abstractNumId w:val="991"/>
  </w:num>
  <w:num w:numId="1032">
    <w:abstractNumId w:val="991"/>
  </w:num>
  <w:num w:numId="1033">
    <w:abstractNumId w:val="991"/>
  </w:num>
  <w:num w:numId="1034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35">
    <w:abstractNumId w:val="991"/>
  </w:num>
  <w:num w:numId="1036">
    <w:abstractNumId w:val="991"/>
  </w:num>
  <w:num w:numId="1037">
    <w:abstractNumId w:val="991"/>
  </w:num>
  <w:num w:numId="1038">
    <w:abstractNumId w:val="991"/>
  </w:num>
  <w:num w:numId="1039">
    <w:abstractNumId w:val="991"/>
  </w:num>
  <w:num w:numId="1040">
    <w:abstractNumId w:val="991"/>
  </w:num>
  <w:num w:numId="1041">
    <w:abstractNumId w:val="991"/>
  </w:num>
  <w:num w:numId="1042">
    <w:abstractNumId w:val="991"/>
  </w:num>
  <w:num w:numId="1043">
    <w:abstractNumId w:val="991"/>
  </w:num>
  <w:num w:numId="1044">
    <w:abstractNumId w:val="991"/>
  </w:num>
  <w:num w:numId="1045">
    <w:abstractNumId w:val="991"/>
  </w:num>
  <w:num w:numId="1046">
    <w:abstractNumId w:val="991"/>
  </w:num>
  <w:num w:numId="1047">
    <w:abstractNumId w:val="991"/>
  </w:num>
  <w:num w:numId="1048">
    <w:abstractNumId w:val="991"/>
  </w:num>
  <w:num w:numId="1049">
    <w:abstractNumId w:val="991"/>
  </w:num>
  <w:num w:numId="1050">
    <w:abstractNumId w:val="991"/>
  </w:num>
  <w:num w:numId="1051">
    <w:abstractNumId w:val="991"/>
  </w:num>
  <w:num w:numId="1052">
    <w:abstractNumId w:val="991"/>
  </w:num>
  <w:num w:numId="1053">
    <w:abstractNumId w:val="991"/>
  </w:num>
  <w:num w:numId="1054">
    <w:abstractNumId w:val="991"/>
  </w:num>
  <w:num w:numId="1055">
    <w:abstractNumId w:val="991"/>
  </w:num>
  <w:num w:numId="1056">
    <w:abstractNumId w:val="991"/>
  </w:num>
  <w:num w:numId="1057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Руководство администратора</dc:title>
  <dc:creator/>
  <cp:keywords/>
  <dcterms:created xsi:type="dcterms:W3CDTF">2026-10-07T17:47:02Z</dcterms:created>
  <dcterms:modified xsi:type="dcterms:W3CDTF">2026-10-07T17:47:02Z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