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workflow"/>
    <w:p>
      <w:pPr>
        <w:pStyle w:val="Heading1"/>
      </w:pPr>
      <w:r>
        <w:t xml:space="preserve">Workflow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 </w:t>
      </w:r>
      <w:r>
        <w:t xml:space="preserve">является ядром подсистемы рабочих процессов. Он хранит записи типа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, выполняет переходы, проверяет условия, запускает post-function и ведет историю действий в стандартном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.</w:t>
      </w:r>
    </w:p>
    <w:bookmarkStart w:id="9" w:name="запись-workflow"/>
    <w:p>
      <w:pPr>
        <w:pStyle w:val="Heading2"/>
      </w:pPr>
      <w:r>
        <w:t xml:space="preserve">1. Запись WORKFLOW</w:t>
      </w:r>
    </w:p>
    <w:p>
      <w:pPr>
        <w:pStyle w:val="FirstParagraph"/>
      </w:pPr>
      <w:r>
        <w:t xml:space="preserve">Запись workflow описывает сам рабочий процесс: ключ, название, активность и описание. Состав статусов, переходов, экранов, фильтров и представлений хранится в отдельных модулях и связывается с workflow по ключу.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</w:tbl>
    <w:bookmarkEnd w:id="9"/>
    <w:bookmarkStart w:id="10" w:name="состояние-записи"/>
    <w:p>
      <w:pPr>
        <w:pStyle w:val="Heading2"/>
      </w:pPr>
      <w:r>
        <w:t xml:space="preserve">2. Состояние записи</w:t>
      </w:r>
    </w:p>
    <w:p>
      <w:pPr>
        <w:pStyle w:val="FirstParagraph"/>
      </w:pPr>
      <w:r>
        <w:t xml:space="preserve">Состояние прикладной записи хранится в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с типом связи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. В одном экземпляре поля фиксируются workflow, владелец состояния и текущий статус. За счет повторяемости поля одна запись может участвовать в нескольких workflow одновременно.</w:t>
      </w:r>
    </w:p>
    <w:p>
      <w:pPr>
        <w:pStyle w:val="BodyText"/>
      </w:pPr>
      <w:r>
        <w:t xml:space="preserve">Workflow не должен знать внутреннюю структуру прикладного типа записи. Поиск записи по внешнему идентификатору, workflow для</w:t>
      </w:r>
      <w:r>
        <w:t xml:space="preserve"> </w:t>
      </w:r>
      <w:r>
        <w:rPr>
          <w:rStyle w:val="VerbatimChar"/>
        </w:rPr>
        <w:t xml:space="preserve">v920</w:t>
      </w:r>
      <w:r>
        <w:t xml:space="preserve">, проектный тип объекта и схемы интерфейса определяются проектом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.</w:t>
      </w:r>
    </w:p>
    <w:bookmarkEnd w:id="10"/>
    <w:bookmarkStart w:id="11" w:name="исполнение-перехода"/>
    <w:p>
      <w:pPr>
        <w:pStyle w:val="Heading2"/>
      </w:pPr>
      <w:r>
        <w:t xml:space="preserve">3. Исполнение перехода</w:t>
      </w:r>
    </w:p>
    <w:p>
      <w:pPr>
        <w:pStyle w:val="FirstParagraph"/>
      </w:pPr>
      <w:r>
        <w:t xml:space="preserve">Основной метод для кода приложения -</w:t>
      </w:r>
      <w:r>
        <w:t xml:space="preserve"> </w:t>
      </w:r>
      <w:r>
        <w:rPr>
          <w:rStyle w:val="VerbatimChar"/>
        </w:rPr>
        <w:t xml:space="preserve">ApplyRecordTransition()</w:t>
      </w:r>
      <w:r>
        <w:t xml:space="preserve">. Он получает базу, запись, проект и переход либо целевой статус. Перед сохранением модуль:</w:t>
      </w:r>
    </w:p>
    <w:p>
      <w:pPr>
        <w:pStyle w:val="Compact"/>
        <w:numPr>
          <w:ilvl w:val="0"/>
          <w:numId w:val="1001"/>
        </w:numPr>
      </w:pPr>
      <w:r>
        <w:t xml:space="preserve">определяет текущее состояние записи в контексте проекта;</w:t>
      </w:r>
    </w:p>
    <w:p>
      <w:pPr>
        <w:pStyle w:val="Compact"/>
        <w:numPr>
          <w:ilvl w:val="0"/>
          <w:numId w:val="1001"/>
        </w:numPr>
      </w:pPr>
      <w:r>
        <w:t xml:space="preserve">проверяет, разрешен ли переход из текущего статуса;</w:t>
      </w:r>
    </w:p>
    <w:p>
      <w:pPr>
        <w:pStyle w:val="Compact"/>
        <w:numPr>
          <w:ilvl w:val="0"/>
          <w:numId w:val="1001"/>
        </w:numPr>
      </w:pPr>
      <w:r>
        <w:t xml:space="preserve">выполняет condition-формат, если он указан в переходе;</w:t>
      </w:r>
    </w:p>
    <w:p>
      <w:pPr>
        <w:pStyle w:val="Compact"/>
        <w:numPr>
          <w:ilvl w:val="0"/>
          <w:numId w:val="1001"/>
        </w:numPr>
      </w:pPr>
      <w:r>
        <w:t xml:space="preserve">применяет данные формы he3, если переход открывался через экран;</w:t>
      </w:r>
    </w:p>
    <w:p>
      <w:pPr>
        <w:pStyle w:val="Compact"/>
        <w:numPr>
          <w:ilvl w:val="0"/>
          <w:numId w:val="1001"/>
        </w:numPr>
      </w:pPr>
      <w:r>
        <w:t xml:space="preserve">меняет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выполняет post-function;</w:t>
      </w:r>
    </w:p>
    <w:p>
      <w:pPr>
        <w:pStyle w:val="Compact"/>
        <w:numPr>
          <w:ilvl w:val="0"/>
          <w:numId w:val="1001"/>
        </w:numPr>
      </w:pPr>
      <w:r>
        <w:t xml:space="preserve">записывает историю в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сохраняет запись штатным механизмом ИРБИС 128.</w:t>
      </w:r>
    </w:p>
    <w:p>
      <w:pPr>
        <w:pStyle w:val="FirstParagraph"/>
      </w:pPr>
      <w:r>
        <w:t xml:space="preserve">Для UI, API и массовых операций до выполнения перехода следует использовать</w:t>
      </w:r>
      <w:r>
        <w:t xml:space="preserve"> </w:t>
      </w:r>
      <w:r>
        <w:rPr>
          <w:rStyle w:val="VerbatimChar"/>
        </w:rPr>
        <w:t xml:space="preserve">ExplainRecordTransition()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DryRunRecordTransition()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ExplainRecordTransition()</w:t>
      </w:r>
      <w:r>
        <w:t xml:space="preserve"> </w:t>
      </w:r>
      <w:r>
        <w:t xml:space="preserve">возвращает единый диагностический ответ: разрешен ли переход, какой</w:t>
      </w:r>
      <w:r>
        <w:t xml:space="preserve"> </w:t>
      </w:r>
      <w:r>
        <w:rPr>
          <w:rStyle w:val="VerbatimChar"/>
        </w:rPr>
        <w:t xml:space="preserve">diagnosticCode</w:t>
      </w:r>
      <w:r>
        <w:t xml:space="preserve"> </w:t>
      </w:r>
      <w:r>
        <w:t xml:space="preserve">получен, какие проверки пройдены, какие причины отказа есть, какой экран потребуется и какие post-functions будут запланированы.</w:t>
      </w:r>
    </w:p>
    <w:p>
      <w:pPr>
        <w:pStyle w:val="BodyText"/>
      </w:pPr>
      <w:r>
        <w:rPr>
          <w:rStyle w:val="VerbatimChar"/>
        </w:rPr>
        <w:t xml:space="preserve">DryRunRecordTransition()</w:t>
      </w:r>
      <w:r>
        <w:t xml:space="preserve"> </w:t>
      </w:r>
      <w:r>
        <w:t xml:space="preserve">использует тот же набор проверок на копии записи и показывает будущий workflow-state без сохранения записи и без выполнения post-functions.</w:t>
      </w:r>
    </w:p>
    <w:p>
      <w:pPr>
        <w:pStyle w:val="BodyText"/>
      </w:pPr>
      <w:r>
        <w:rPr>
          <w:rStyle w:val="VerbatimChar"/>
        </w:rPr>
        <w:t xml:space="preserve">GetWorkflowImpactAnalysis()</w:t>
      </w:r>
      <w:r>
        <w:t xml:space="preserve"> </w:t>
      </w:r>
      <w:r>
        <w:t xml:space="preserve">показывает where-used workflow: связанные проекты, статусы, переходы, экраны, схемы, фильтры, представления и количество записей с материализованным состоянием этого workflow.</w:t>
      </w:r>
    </w:p>
    <w:bookmarkEnd w:id="11"/>
    <w:bookmarkStart w:id="12" w:name="conditions"/>
    <w:p>
      <w:pPr>
        <w:pStyle w:val="Heading2"/>
      </w:pPr>
      <w:r>
        <w:t xml:space="preserve">4. Conditions</w:t>
      </w:r>
    </w:p>
    <w:p>
      <w:pPr>
        <w:pStyle w:val="FirstParagraph"/>
      </w:pPr>
      <w:r>
        <w:t xml:space="preserve">Condition задается в записи перехода как имя формата. Workflow вызывает</w:t>
      </w:r>
      <w:r>
        <w:t xml:space="preserve"> </w:t>
      </w:r>
      <w:r>
        <w:rPr>
          <w:rStyle w:val="VerbatimChar"/>
        </w:rPr>
        <w:t xml:space="preserve">Format128</w:t>
      </w:r>
      <w:r>
        <w:t xml:space="preserve"> </w:t>
      </w:r>
      <w:r>
        <w:t xml:space="preserve">с параметрами контекста. Пустое значение,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нет</w:t>
      </w:r>
      <w:r>
        <w:t xml:space="preserve"> </w:t>
      </w:r>
      <w:r>
        <w:t xml:space="preserve">запрещают переход. Отрицательное число считается ошибкой условия.</w:t>
      </w:r>
    </w:p>
    <w:p>
      <w:pPr>
        <w:pStyle w:val="BodyText"/>
      </w:pPr>
      <w:r>
        <w:t xml:space="preserve">Если нужна сложная логика доступности, ее лучше выносить в формат ИРБИС 128. Так настройка остается декларативной, а модуль Workflow не получает привязку к прикладной области.</w:t>
      </w:r>
    </w:p>
    <w:bookmarkEnd w:id="12"/>
    <w:bookmarkStart w:id="13" w:name="post-functions"/>
    <w:p>
      <w:pPr>
        <w:pStyle w:val="Heading2"/>
      </w:pPr>
      <w:r>
        <w:t xml:space="preserve">5. Post-Functions</w:t>
      </w:r>
    </w:p>
    <w:p>
      <w:pPr>
        <w:pStyle w:val="FirstParagraph"/>
      </w:pPr>
      <w:r>
        <w:t xml:space="preserve">Workflow поддерживает два типа post-function: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выполнение выбранного GBL-сценария из MNU whitelist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command</w:t>
            </w:r>
          </w:p>
        </w:tc>
        <w:tc>
          <w:tcPr/>
          <w:p>
            <w:pPr>
              <w:pStyle w:val="Compact"/>
            </w:pPr>
            <w:r>
              <w:t xml:space="preserve">вызов workflow-команды прикладного модуля</w:t>
            </w:r>
          </w:p>
        </w:tc>
      </w:tr>
    </w:tbl>
    <w:p>
      <w:pPr>
        <w:pStyle w:val="BodyText"/>
      </w:pPr>
      <w:r>
        <w:t xml:space="preserve">Команды вызываются через</w:t>
      </w:r>
      <w:r>
        <w:t xml:space="preserve"> </w:t>
      </w:r>
      <w:r>
        <w:rPr>
          <w:rStyle w:val="VerbatimChar"/>
        </w:rPr>
        <w:t xml:space="preserve">__call/Workflow</w:t>
      </w:r>
      <w:r>
        <w:t xml:space="preserve"> </w:t>
      </w:r>
      <w:r>
        <w:t xml:space="preserve">и получают</w:t>
      </w:r>
      <w:r>
        <w:t xml:space="preserve"> </w:t>
      </w:r>
      <w:r>
        <w:rPr>
          <w:rStyle w:val="VerbatimChar"/>
        </w:rPr>
        <w:t xml:space="preserve">WorkflowContext</w:t>
      </w:r>
      <w:r>
        <w:t xml:space="preserve">. Возврат выполняется через</w:t>
      </w:r>
      <w:r>
        <w:t xml:space="preserve"> </w:t>
      </w:r>
      <w:r>
        <w:rPr>
          <w:rStyle w:val="VerbatimChar"/>
        </w:rPr>
        <w:t xml:space="preserve">WorkflowCommandResult</w:t>
      </w:r>
      <w:r>
        <w:t xml:space="preserve">.</w:t>
      </w:r>
    </w:p>
    <w:bookmarkEnd w:id="13"/>
    <w:bookmarkStart w:id="14" w:name="системные-записи"/>
    <w:p>
      <w:pPr>
        <w:pStyle w:val="Heading2"/>
      </w:pPr>
      <w:r>
        <w:t xml:space="preserve">6. Системные записи</w:t>
      </w:r>
    </w:p>
    <w:p>
      <w:pPr>
        <w:pStyle w:val="FirstParagraph"/>
      </w:pPr>
      <w:r>
        <w:t xml:space="preserve">Модуль умеет помечать записи как системно управляемые и запрещать их ручное редактирование. Для разработки системных конфигураций предусмотрена внутренняя настройка в коде, разрешающая редактирование таких записей.</w:t>
      </w:r>
    </w:p>
    <w:p>
      <w:pPr>
        <w:pStyle w:val="BodyText"/>
      </w:pPr>
      <w:r>
        <w:t xml:space="preserve">Синхронизация поставляемых JSON-конфигураций выполняется отдельной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-функцией</w:t>
      </w:r>
      <w:r>
        <w:t xml:space="preserve"> </w:t>
      </w:r>
      <w:r>
        <w:rPr>
          <w:rStyle w:val="VerbatimChar"/>
        </w:rPr>
        <w:t xml:space="preserve">SyncSystemDefinitions</w:t>
      </w:r>
      <w:r>
        <w:t xml:space="preserve">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</dc:title>
  <dc:creator/>
  <cp:keywords/>
  <dcterms:created xsi:type="dcterms:W3CDTF">2026-10-02T22:17:28Z</dcterms:created>
  <dcterms:modified xsi:type="dcterms:W3CDTF">2026-10-02T22:17:28Z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