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КСУ итоговая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ксу-итоговая"/>
    <w:p>
      <w:pPr>
        <w:pStyle w:val="Heading1"/>
      </w:pPr>
      <w:r>
        <w:t xml:space="preserve">КСУ итоговая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KSI</w:t>
      </w:r>
      <w:r>
        <w:t xml:space="preserve"> </w:t>
      </w:r>
      <w:r>
        <w:t xml:space="preserve">хранит итоговые записи книги суммарного учета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предоставляет редактор и форматы отображения.</w:t>
      </w:r>
    </w:p>
    <w:bookmarkStart w:id="9" w:name="назначение-ksi"/>
    <w:p>
      <w:pPr>
        <w:pStyle w:val="Heading2"/>
      </w:pPr>
      <w:r>
        <w:t xml:space="preserve">Назначение KSI</w:t>
      </w:r>
    </w:p>
    <w:p>
      <w:pPr>
        <w:pStyle w:val="FirstParagraph"/>
      </w:pPr>
      <w:r>
        <w:rPr>
          <w:rStyle w:val="VerbatimChar"/>
        </w:rPr>
        <w:t xml:space="preserve">KSI</w:t>
      </w:r>
      <w:r>
        <w:t xml:space="preserve"> </w:t>
      </w:r>
      <w:r>
        <w:t xml:space="preserve">является карточным модулем для итоговой части книги суммарного учета. Он использует тип записи</w:t>
      </w:r>
      <w:r>
        <w:t xml:space="preserve"> </w:t>
      </w:r>
      <w:r>
        <w:rPr>
          <w:rStyle w:val="VerbatimChar"/>
        </w:rPr>
        <w:t xml:space="preserve">KSI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KSI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применяется для хранения итоговой учетной записи. Детальная структура полей задается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КСУ итоговая</dc:title>
  <dc:creator/>
  <cp:keywords/>
  <dcterms:created xsi:type="dcterms:W3CDTF">2026-10-06T04:52:33Z</dcterms:created>
  <dcterms:modified xsi:type="dcterms:W3CDTF">2026-10-06T04:52:33Z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