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Просмотрщик Light Gallery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щик-light-gallery"/>
    <w:p>
      <w:pPr>
        <w:pStyle w:val="Heading1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9" w:name="основные-преимущества"/>
    <w:p>
      <w:pPr>
        <w:pStyle w:val="Heading2"/>
      </w:pPr>
      <w:r>
        <w:t xml:space="preserve">1. Основные преимущества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9"/>
    <w:bookmarkStart w:id="10" w:name="функциональные-возможности"/>
    <w:p>
      <w:pPr>
        <w:pStyle w:val="Heading2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Compact"/>
        <w:numPr>
          <w:ilvl w:val="0"/>
          <w:numId w:val="1003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03"/>
        </w:numPr>
      </w:pPr>
      <w:r>
        <w:t xml:space="preserve">Поддерживается переход к конкретной странице по ее номеру.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Просмотрщик Light Gallery</dc:title>
  <dc:creator/>
  <cp:keywords/>
  <dcterms:created xsi:type="dcterms:W3CDTF">2026-10-06T02:53:05Z</dcterms:created>
  <dcterms:modified xsi:type="dcterms:W3CDTF">2026-10-06T02:53:05Z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