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workflow"/>
    <w:p>
      <w:pPr>
        <w:pStyle w:val="Heading1"/>
      </w:pPr>
      <w:r>
        <w:t xml:space="preserve">Назначение Workflow</w:t>
      </w:r>
    </w:p>
    <w:p>
      <w:pPr>
        <w:pStyle w:val="FirstParagraph"/>
      </w:pPr>
      <w:r>
        <w:t xml:space="preserve">Подсистема Workflow предназначена для настройки жизненного цикла записей ИРБИС 128 без жесткой привязки к конкретному прикладному модулю. Она хранит состояние записи, определяет доступные действия пользователя, выполняет переходы между статусами и строит типовые страницы списков и карточек по конфигурации.</w:t>
      </w:r>
    </w:p>
    <w:p>
      <w:pPr>
        <w:pStyle w:val="BodyText"/>
      </w:pPr>
      <w:r>
        <w:t xml:space="preserve">Workflow используется, когда для записей нужно описать:</w:t>
      </w:r>
    </w:p>
    <w:p>
      <w:pPr>
        <w:pStyle w:val="Compact"/>
        <w:numPr>
          <w:ilvl w:val="0"/>
          <w:numId w:val="1001"/>
        </w:numPr>
      </w:pPr>
      <w:r>
        <w:t xml:space="preserve">набор статусов обработки;</w:t>
      </w:r>
    </w:p>
    <w:p>
      <w:pPr>
        <w:pStyle w:val="Compact"/>
        <w:numPr>
          <w:ilvl w:val="0"/>
          <w:numId w:val="1001"/>
        </w:numPr>
      </w:pPr>
      <w:r>
        <w:t xml:space="preserve">допустимые переходы между статусами;</w:t>
      </w:r>
    </w:p>
    <w:p>
      <w:pPr>
        <w:pStyle w:val="Compact"/>
        <w:numPr>
          <w:ilvl w:val="0"/>
          <w:numId w:val="1001"/>
        </w:numPr>
      </w:pPr>
      <w:r>
        <w:t xml:space="preserve">права на выполнение отдельных действий;</w:t>
      </w:r>
    </w:p>
    <w:p>
      <w:pPr>
        <w:pStyle w:val="Compact"/>
        <w:numPr>
          <w:ilvl w:val="0"/>
          <w:numId w:val="1001"/>
        </w:numPr>
      </w:pPr>
      <w:r>
        <w:t xml:space="preserve">формы he3, которые открываются перед переходом;</w:t>
      </w:r>
    </w:p>
    <w:p>
      <w:pPr>
        <w:pStyle w:val="Compact"/>
        <w:numPr>
          <w:ilvl w:val="0"/>
          <w:numId w:val="1001"/>
        </w:numPr>
      </w:pPr>
      <w:r>
        <w:t xml:space="preserve">post-functions, выполняемые после смены состояния;</w:t>
      </w:r>
    </w:p>
    <w:p>
      <w:pPr>
        <w:pStyle w:val="Compact"/>
        <w:numPr>
          <w:ilvl w:val="0"/>
          <w:numId w:val="1001"/>
        </w:numPr>
      </w:pPr>
      <w:r>
        <w:t xml:space="preserve">фильтры списков;</w:t>
      </w:r>
    </w:p>
    <w:p>
      <w:pPr>
        <w:pStyle w:val="Compact"/>
        <w:numPr>
          <w:ilvl w:val="0"/>
          <w:numId w:val="1001"/>
        </w:numPr>
      </w:pPr>
      <w:r>
        <w:t xml:space="preserve">представления списков и карточек.</w:t>
      </w:r>
    </w:p>
    <w:p>
      <w:pPr>
        <w:pStyle w:val="FirstParagraph"/>
      </w:pPr>
      <w:r>
        <w:t xml:space="preserve">Состояние рабочей записи хранится в стандартном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как связь</w:t>
      </w:r>
      <w:r>
        <w:t xml:space="preserve"> </w:t>
      </w:r>
      <w:r>
        <w:rPr>
          <w:rStyle w:val="VerbatimChar"/>
        </w:rPr>
        <w:t xml:space="preserve">LINK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История действий записывается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Сами настройки Workflow являются обычными записями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для них применяются стандартные механизмы редактирования, прав, индексации, экспорта и импорта.</w:t>
      </w:r>
    </w:p>
    <w:p>
      <w:pPr>
        <w:pStyle w:val="BodyText"/>
      </w:pPr>
      <w:r>
        <w:t xml:space="preserve">Подсистема не должна знать внутреннюю структуру прикладных записей. Специфика прикладного модуля выносится в форматы, рабочие листы, фильтры, представления и workflow-команды модуля.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</dc:title>
  <dc:creator/>
  <cp:keywords/>
  <dcterms:created xsi:type="dcterms:W3CDTF">2026-10-04T19:40:04Z</dcterms:created>
  <dcterms:modified xsi:type="dcterms:W3CDTF">2026-10-04T19:40:04Z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