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[I128-2171] БД, открываемые в режиме ReadOnly (с минусом перед именем) каждый раз открываются заново в функции i128f::OpenDbByMnemonicName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d749930551cd9e16feab4d57f59e8a38b098ff3"/>
    <w:p>
      <w:pPr>
        <w:pStyle w:val="Heading1"/>
      </w:pPr>
      <w:r>
        <w:t xml:space="preserve">[I128-2171] БД, открываемые в режиме ReadOnly (с минусом перед именем) каждый раз открываются заново в функции i128f::OpenDbByMnemonicName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[I128-2171] БД, открываемые в режиме ReadOnly (с минусом перед именем) каждый раз открываются заново в функции i128f::OpenDbByMnemonicName</dc:title>
  <dc:creator/>
  <cp:keywords/>
  <dcterms:created xsi:type="dcterms:W3CDTF">2026-10-03T13:26:42Z</dcterms:created>
  <dcterms:modified xsi:type="dcterms:W3CDTF">2026-10-03T13:26:42Z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