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[I128-1883] Смена типа RFID - оборудования в интерфейсе АРМ Книговыдачи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2cf1fe5f3f77f56b5e66f186c7505f0e5b94c2"/>
    <w:p>
      <w:pPr>
        <w:pStyle w:val="Heading1"/>
      </w:pPr>
      <w:r>
        <w:t xml:space="preserve">[I128-1883] Смена типа RFID - оборудования в интерфейсе АРМ Книговыдачи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Книговыдача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26.01.2026 05:53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062"/>
    <w:p>
      <w:pPr>
        <w:pStyle w:val="Heading3"/>
      </w:pPr>
      <w:r>
        <w:t xml:space="preserve">1.1. 🔗 Соответствует задача: I128-2062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[I128-2062]</w:t>
        </w:r>
      </w:hyperlink>
      <w:r>
        <w:t xml:space="preserve"> </w:t>
      </w:r>
      <w:r>
        <w:t xml:space="preserve">Смена типа RFID - оборудования в интерфейсе АРМ Книговыдачи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6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6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[I128-1883] Смена типа RFID - оборудования в интерфейсе АРМ Книговыдачи</dc:title>
  <dc:creator/>
  <cp:keywords/>
  <dcterms:created xsi:type="dcterms:W3CDTF">2026-10-03T09:03:49Z</dcterms:created>
  <dcterms:modified xsi:type="dcterms:W3CDTF">2026-10-03T09:03:49Z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