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[I128-2697] Кнопка клиентского действия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7e66633255600cf5e7271428cac3f8e31670b"/>
    <w:p>
      <w:pPr>
        <w:pStyle w:val="Heading1"/>
      </w:pPr>
      <w:r>
        <w:t xml:space="preserve">[I128-2697] Кнопка клиентского действия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Редактор записи сможет показывать кнопку, которая выполняет клиентский ExtJS handler без сохранения отдельного поля в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объявляет поле с FieldEditor=ClientButton и передает текст, подсказку и handler. Редактор выводит кнопку в форме, handler может заполнить существующие поля формы или выполнить другое локальное действие.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Новый тип поля не влияет на существующие редакторы и не записывает значение в запись. Он используется только при явном FieldEditor=ClientButton.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2697: Кнопка клиентского действия в редакторе записи. Scope: he2;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feature/I128~~2697~~he2~~client~~button~~field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Кнопка клиентского действия в редакторе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modules/he2/FieldTypes/ClientButton.field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+51/-0.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Кнопка клиентского действия в редакторе записи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[I128-2697] Кнопка клиентского действия в редакторе записи</dc:title>
  <dc:creator/>
  <cp:keywords/>
  <dcterms:created xsi:type="dcterms:W3CDTF">2026-10-03T19:23:54Z</dcterms:created>
  <dcterms:modified xsi:type="dcterms:W3CDTF">2026-10-03T19:23:54Z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