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локального OpenAI-compatible runtime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3568186580d3e19fd51c07d1e3c968e46fb7706"/>
    <w:p>
      <w:pPr>
        <w:pStyle w:val="Heading1"/>
      </w:pPr>
      <w:r>
        <w:t xml:space="preserve">Пример настройки локального OpenAI-compatible runtime</w:t>
      </w:r>
    </w:p>
    <w:p>
      <w:pPr>
        <w:pStyle w:val="FirstParagraph"/>
      </w:pPr>
      <w:r>
        <w:t xml:space="preserve">Этот пример подходит для локального runtime, который предоставляет API, совместимый с OpenAI Chat Completions, по адресу вида</w:t>
      </w:r>
      <w:r>
        <w:t xml:space="preserve"> </w:t>
      </w:r>
      <w:r>
        <w:rPr>
          <w:rStyle w:val="VerbatimChar"/>
        </w:rPr>
        <w:t xml:space="preserve">http://127.0.0.1:&lt;порт&gt;/v1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http://&lt;локальный-сервер&gt;:&lt;порт&gt;/v1</w:t>
      </w:r>
      <w:r>
        <w:t xml:space="preserve">. Конкретный runtime может быть любым, если он принимает запросы в ожидаемом формате и не требует передачи данных во внешнее облако.</w:t>
      </w:r>
    </w:p>
    <w:bookmarkStart w:id="9" w:name="определить-endpoint-и-model-id"/>
    <w:p>
      <w:pPr>
        <w:pStyle w:val="Heading2"/>
      </w:pPr>
      <w:r>
        <w:t xml:space="preserve">1. 1. Определить endpoint и model id</w:t>
      </w:r>
    </w:p>
    <w:p>
      <w:pPr>
        <w:pStyle w:val="FirstParagraph"/>
      </w:pPr>
      <w:r>
        <w:t xml:space="preserve">До настройки ИРБИС 128 нужно знать:</w:t>
      </w:r>
    </w:p>
    <w:p>
      <w:pPr>
        <w:pStyle w:val="Compact"/>
        <w:numPr>
          <w:ilvl w:val="0"/>
          <w:numId w:val="1001"/>
        </w:numPr>
      </w:pPr>
      <w:r>
        <w:t xml:space="preserve">endpoint API, например</w:t>
      </w:r>
      <w:r>
        <w:t xml:space="preserve"> </w:t>
      </w:r>
      <w:r>
        <w:rPr>
          <w:rStyle w:val="VerbatimChar"/>
        </w:rPr>
        <w:t xml:space="preserve">http://127.0.0.1:1234/v1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точный ID модели, который runtime ожидает в запросе;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runtime</w:t>
      </w:r>
      <w:r>
        <w:t xml:space="preserve"> </w:t>
      </w:r>
      <w:r>
        <w:rPr>
          <w:rStyle w:val="VerbatimChar"/>
        </w:rPr>
        <w:t xml:space="preserve">/models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поддерживает ли выбранная модель JSON-ответы, streaming, tools или embeddings.</w:t>
      </w:r>
    </w:p>
    <w:p>
      <w:pPr>
        <w:pStyle w:val="FirstParagraph"/>
      </w:pPr>
      <w:r>
        <w:t xml:space="preserve">Если runtime расположен на другом узле локальной сети, endpoint должен быть доступен только из защищенного внутреннего контура. Не помечайте такой provider как внешний, если данные не покидают контролируемую инфраструктуру организации.</w:t>
      </w:r>
    </w:p>
    <w:bookmarkEnd w:id="9"/>
    <w:bookmarkStart w:id="10" w:name="настроить-provider"/>
    <w:p>
      <w:pPr>
        <w:pStyle w:val="Heading2"/>
      </w:pPr>
      <w:r>
        <w:t xml:space="preserve">2. 2. Настроить provider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local-openai-compatible</w:t>
            </w:r>
            <w:r>
              <w:t xml:space="preserve"> </w:t>
            </w:r>
            <w:r>
              <w:t xml:space="preserve">или другой стабильный 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локального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t xml:space="preserve">Endpoint runtime,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http://127.0.0.1:1234/v1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 </w:t>
      </w:r>
      <w:r>
        <w:t xml:space="preserve">задайте минимальный подтвержденный набор. Для обычного текстового запроса достаточно</w:t>
      </w:r>
      <w:r>
        <w:t xml:space="preserve"> </w:t>
      </w:r>
      <w:r>
        <w:t xml:space="preserve">“Текст”</w:t>
      </w:r>
      <w:r>
        <w:t xml:space="preserve"> </w:t>
      </w:r>
      <w:r>
        <w:t xml:space="preserve">и</w:t>
      </w:r>
      <w:r>
        <w:t xml:space="preserve"> </w:t>
      </w:r>
      <w:r>
        <w:t xml:space="preserve">“JSON”</w:t>
      </w:r>
      <w:r>
        <w:t xml:space="preserve">. Не включайте</w:t>
      </w:r>
      <w:r>
        <w:t xml:space="preserve"> </w:t>
      </w: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 </w:t>
      </w:r>
      <w:r>
        <w:t xml:space="preserve">или</w:t>
      </w:r>
      <w:r>
        <w:t xml:space="preserve"> </w:t>
      </w:r>
      <w:r>
        <w:t xml:space="preserve">“Streaming”</w:t>
      </w:r>
      <w:r>
        <w:t xml:space="preserve"> </w:t>
      </w:r>
      <w:r>
        <w:t xml:space="preserve">только потому, что они есть в интерфейсе: эти признаки должны соответствовать реальной поддержке runtime и модели.</w:t>
      </w:r>
    </w:p>
    <w:p>
      <w:pPr>
        <w:pStyle w:val="BodyText"/>
      </w:pPr>
      <w:r>
        <w:t xml:space="preserve">Если runtime поддерживает список моделей, 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указать: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bookmarkEnd w:id="10"/>
    <w:bookmarkStart w:id="11" w:name="настроить-модель"/>
    <w:p>
      <w:pPr>
        <w:pStyle w:val="Heading2"/>
      </w:pPr>
      <w:r>
        <w:t xml:space="preserve">3. 3. Настроить модель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t xml:space="preserve">ID provider из записи</w:t>
            </w:r>
            <w:r>
              <w:t xml:space="preserve"> </w:t>
            </w:r>
            <w:r>
              <w:t xml:space="preserve">“Поставщики AI”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t xml:space="preserve">Точный ID модели в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Размер контекста, если известен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 </w:t>
      </w:r>
      <w:r>
        <w:t xml:space="preserve">включите только то, что проверено. Если сценарии требуют структурированный ответ, отдельно проверьте</w:t>
      </w:r>
      <w:r>
        <w:t xml:space="preserve"> </w:t>
      </w:r>
      <w:r>
        <w:t xml:space="preserve">“JSON”</w:t>
      </w:r>
      <w:r>
        <w:t xml:space="preserve">. Если модель не держит JSON-формат, оставьте</w:t>
      </w:r>
      <w:r>
        <w:t xml:space="preserve"> </w:t>
      </w:r>
      <w:r>
        <w:t xml:space="preserve">“JSON”</w:t>
      </w:r>
      <w:r>
        <w:t xml:space="preserve"> </w:t>
      </w:r>
      <w:r>
        <w:t xml:space="preserve">выключенным и не используйте ее для сценариев, которым нужен структурированный draft.</w:t>
      </w:r>
    </w:p>
    <w:bookmarkEnd w:id="11"/>
    <w:bookmarkStart w:id="12" w:name="настроить-ai"/>
    <w:p>
      <w:pPr>
        <w:pStyle w:val="Heading2"/>
      </w:pPr>
      <w:r>
        <w:t xml:space="preserve">4. 4. Настроить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Включите</w:t>
      </w:r>
      <w:r>
        <w:t xml:space="preserve"> </w:t>
      </w:r>
      <w:r>
        <w:t xml:space="preserve">“Разрешить локальные модели”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“Разрешить внешние модели”</w:t>
      </w:r>
      <w:r>
        <w:t xml:space="preserve"> </w:t>
      </w:r>
      <w:r>
        <w:t xml:space="preserve">выключенным.</w:t>
      </w:r>
    </w:p>
    <w:p>
      <w:pPr>
        <w:pStyle w:val="Compact"/>
        <w:numPr>
          <w:ilvl w:val="0"/>
          <w:numId w:val="1002"/>
        </w:numPr>
      </w:pPr>
      <w:r>
        <w:t xml:space="preserve">Укажите</w:t>
      </w:r>
      <w:r>
        <w:t xml:space="preserve"> </w:t>
      </w:r>
      <w:r>
        <w:t xml:space="preserve">“OpenAI-compatible endpoint локальной среды”</w:t>
      </w:r>
      <w:r>
        <w:t xml:space="preserve">, если этот runtime должен быть локальным endpoint по умолчанию.</w:t>
      </w:r>
    </w:p>
    <w:p>
      <w:pPr>
        <w:pStyle w:val="Compact"/>
        <w:numPr>
          <w:ilvl w:val="0"/>
          <w:numId w:val="1002"/>
        </w:numPr>
      </w:pPr>
      <w:r>
        <w:t xml:space="preserve">Оставьте</w:t>
      </w:r>
      <w:r>
        <w:t xml:space="preserve"> </w:t>
      </w:r>
      <w:r>
        <w:t xml:space="preserve">“Класс данных по умолчанию”</w:t>
      </w:r>
      <w:r>
        <w:t xml:space="preserve"> </w:t>
      </w:r>
      <w:r>
        <w:t xml:space="preserve">равным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Проверьте лимиты prompt/system/max tokens.</w:t>
      </w:r>
    </w:p>
    <w:p>
      <w:pPr>
        <w:pStyle w:val="FirstParagraph"/>
      </w:pPr>
      <w:r>
        <w:t xml:space="preserve">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можно включать только после успешной диагностики. До этого используйте</w:t>
      </w:r>
      <w:r>
        <w:t xml:space="preserve"> </w:t>
      </w:r>
      <w:r>
        <w:t xml:space="preserve">“диагностический режим”</w:t>
      </w:r>
      <w:r>
        <w:t xml:space="preserve"> </w:t>
      </w:r>
      <w:r>
        <w:t xml:space="preserve">на страницах AI.</w:t>
      </w:r>
    </w:p>
    <w:bookmarkEnd w:id="12"/>
    <w:bookmarkStart w:id="13" w:name="проверить-через-diagnostics"/>
    <w:p>
      <w:pPr>
        <w:pStyle w:val="Heading2"/>
      </w:pPr>
      <w:r>
        <w:t xml:space="preserve">5. 5. Проверить через Diagnostics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.</w:t>
      </w:r>
    </w:p>
    <w:p>
      <w:pPr>
        <w:pStyle w:val="BodyText"/>
      </w:pPr>
      <w:r>
        <w:t xml:space="preserve">Сначала выполните проверку provider. Она не делает сетевой вызов и показывает, как профиль прочитан модулем.</w:t>
      </w:r>
    </w:p>
    <w:p>
      <w:pPr>
        <w:pStyle w:val="BodyText"/>
      </w:pPr>
      <w:r>
        <w:t xml:space="preserve">Затем выполните</w:t>
      </w:r>
      <w:r>
        <w:t xml:space="preserve"> </w:t>
      </w:r>
      <w:r>
        <w:rPr>
          <w:rStyle w:val="VerbatimChar"/>
        </w:rPr>
        <w:t xml:space="preserve">ResolveModel</w:t>
      </w:r>
      <w:r>
        <w:t xml:space="preserve">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"local-openai-compatible"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"local-model-id"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Замените</w:t>
      </w:r>
      <w:r>
        <w:t xml:space="preserve"> </w:t>
      </w:r>
      <w:r>
        <w:rPr>
          <w:rStyle w:val="VerbatimChar"/>
        </w:rPr>
        <w:t xml:space="preserve">local-model-id</w:t>
      </w:r>
      <w:r>
        <w:t xml:space="preserve"> </w:t>
      </w:r>
      <w:r>
        <w:t xml:space="preserve">на фактический ID модели. Если JSON не нужен, оставьте только</w:t>
      </w:r>
      <w:r>
        <w:t xml:space="preserve"> </w:t>
      </w:r>
      <w:r>
        <w:rPr>
          <w:rStyle w:val="VerbatimChar"/>
        </w:rPr>
        <w:t xml:space="preserve">text</w:t>
      </w:r>
      <w:r>
        <w:t xml:space="preserve">.</w:t>
      </w:r>
    </w:p>
    <w:bookmarkEnd w:id="13"/>
    <w:bookmarkStart w:id="14" w:name="проверить-реальный-вызов"/>
    <w:p>
      <w:pPr>
        <w:pStyle w:val="Heading2"/>
      </w:pPr>
      <w:r>
        <w:t xml:space="preserve">6. 6. Проверить реальный вызов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3"/>
        </w:numPr>
      </w:pPr>
      <w:r>
        <w:t xml:space="preserve">Сначала включите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успешного dry-run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prompt.</w:t>
      </w:r>
    </w:p>
    <w:p>
      <w:pPr>
        <w:pStyle w:val="FirstParagraph"/>
      </w:pPr>
      <w:r>
        <w:t xml:space="preserve">Если runtime не вызывается, проверьте настройку</w:t>
      </w:r>
      <w:r>
        <w:t xml:space="preserve"> </w:t>
      </w:r>
      <w:r>
        <w:t xml:space="preserve">“Сетевой вызов по умолчанию”</w:t>
      </w:r>
      <w:r>
        <w:t xml:space="preserve">: OpenAI-compatible adapter не выполняет HTTP-запрос без явного разрешения сетевого вызова.</w:t>
      </w:r>
    </w:p>
    <w:bookmarkEnd w:id="14"/>
    <w:bookmarkStart w:id="15" w:name="проверить-закрытый-контур"/>
    <w:p>
      <w:pPr>
        <w:pStyle w:val="Heading2"/>
      </w:pPr>
      <w:r>
        <w:t xml:space="preserve">7. 7. Проверить закрытый контур</w:t>
      </w:r>
    </w:p>
    <w:p>
      <w:pPr>
        <w:pStyle w:val="FirstParagraph"/>
      </w:pPr>
      <w:r>
        <w:t xml:space="preserve">После успешного ответа проверьте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: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selection</w:t>
      </w:r>
      <w:r>
        <w:t xml:space="preserve"> </w:t>
      </w:r>
      <w:r>
        <w:t xml:space="preserve">выбранной модели должно быть</w:t>
      </w:r>
      <w:r>
        <w:t xml:space="preserve"> </w:t>
      </w:r>
      <w:r>
        <w:rPr>
          <w:rStyle w:val="VerbatimChar"/>
        </w:rPr>
        <w:t xml:space="preserve">external=false</w:t>
      </w:r>
      <w:r>
        <w:t xml:space="preserve">,</w:t>
      </w:r>
      <w:r>
        <w:t xml:space="preserve"> </w:t>
      </w:r>
      <w:r>
        <w:rPr>
          <w:rStyle w:val="VerbatimChar"/>
        </w:rPr>
        <w:t xml:space="preserve">local=true</w:t>
      </w:r>
      <w:r>
        <w:t xml:space="preserve">,</w:t>
      </w:r>
      <w:r>
        <w:t xml:space="preserve"> </w:t>
      </w:r>
      <w:r>
        <w:rPr>
          <w:rStyle w:val="VerbatimChar"/>
        </w:rPr>
        <w:t xml:space="preserve">offline=true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отчете внешней передачи не должно быть успешных передач во внешний provider.</w:t>
      </w:r>
    </w:p>
    <w:p>
      <w:pPr>
        <w:pStyle w:val="Compact"/>
        <w:numPr>
          <w:ilvl w:val="0"/>
          <w:numId w:val="1004"/>
        </w:numPr>
      </w:pPr>
      <w:r>
        <w:t xml:space="preserve">В audit не должны отображаться секреты.</w:t>
      </w:r>
    </w:p>
    <w:p>
      <w:pPr>
        <w:pStyle w:val="Compact"/>
        <w:numPr>
          <w:ilvl w:val="0"/>
          <w:numId w:val="1004"/>
        </w:numPr>
      </w:pPr>
      <w:r>
        <w:t xml:space="preserve">При политике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 </w:t>
      </w:r>
      <w:r>
        <w:t xml:space="preserve">внешний fallback должен быть запрещен.</w:t>
      </w:r>
    </w:p>
    <w:p>
      <w:pPr>
        <w:pStyle w:val="FirstParagraph"/>
      </w:pPr>
      <w:r>
        <w:t xml:space="preserve">Если для runtime нужен API-ключ, храните его в</w:t>
      </w:r>
      <w:r>
        <w:t xml:space="preserve"> </w:t>
      </w:r>
      <w:r>
        <w:rPr>
          <w:rStyle w:val="VerbatimChar"/>
        </w:rPr>
        <w:t xml:space="preserve">SecretsJson</w:t>
      </w:r>
      <w:r>
        <w:t xml:space="preserve"> </w:t>
      </w:r>
      <w:r>
        <w:t xml:space="preserve">через штатную настройку секретов, а не в endpoint и не в Help-тексте.</w:t>
      </w:r>
    </w:p>
    <w:bookmarkEnd w:id="15"/>
    <w:bookmarkStart w:id="16" w:name="передача-пользователям"/>
    <w:p>
      <w:pPr>
        <w:pStyle w:val="Heading2"/>
      </w:pPr>
      <w:r>
        <w:t xml:space="preserve">8. 8. Передача пользователям</w:t>
      </w:r>
    </w:p>
    <w:p>
      <w:pPr>
        <w:pStyle w:val="FirstParagraph"/>
      </w:pPr>
      <w:r>
        <w:t xml:space="preserve">Перед тем как открыть сценарий пользователям:</w:t>
      </w:r>
    </w:p>
    <w:p>
      <w:pPr>
        <w:pStyle w:val="Compact"/>
        <w:numPr>
          <w:ilvl w:val="0"/>
          <w:numId w:val="1005"/>
        </w:numPr>
      </w:pPr>
      <w:r>
        <w:t xml:space="preserve">Включите</w:t>
      </w:r>
      <w:r>
        <w:t xml:space="preserve"> </w:t>
      </w:r>
      <w:r>
        <w:t xml:space="preserve">“Включить модуль AI”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</w:t>
      </w:r>
    </w:p>
    <w:p>
      <w:pPr>
        <w:pStyle w:val="Compact"/>
        <w:numPr>
          <w:ilvl w:val="0"/>
          <w:numId w:val="1005"/>
        </w:numPr>
      </w:pPr>
      <w:r>
        <w:t xml:space="preserve">Проверьте права на рабочие страницы AI.</w:t>
      </w:r>
    </w:p>
    <w:p>
      <w:pPr>
        <w:pStyle w:val="Compact"/>
        <w:numPr>
          <w:ilvl w:val="0"/>
          <w:numId w:val="1005"/>
        </w:numPr>
      </w:pPr>
      <w:r>
        <w:t xml:space="preserve">Для сценариев с черновиками проверьте</w:t>
      </w:r>
      <w:r>
        <w:t xml:space="preserve"> </w:t>
      </w:r>
      <w:r>
        <w:rPr>
          <w:rStyle w:val="VerbatimChar"/>
        </w:rPr>
        <w:t xml:space="preserve">AI/Reviews</w:t>
      </w:r>
      <w:r>
        <w:t xml:space="preserve"> </w:t>
      </w:r>
      <w:r>
        <w:t xml:space="preserve">тем же пользователем, который запускает стартовый сценарий.</w:t>
      </w:r>
    </w:p>
    <w:p>
      <w:pPr>
        <w:pStyle w:val="Compact"/>
        <w:numPr>
          <w:ilvl w:val="0"/>
          <w:numId w:val="1005"/>
        </w:numPr>
      </w:pPr>
      <w:r>
        <w:t xml:space="preserve">Не включайте</w:t>
      </w:r>
      <w:r>
        <w:t xml:space="preserve"> </w:t>
      </w:r>
      <w:r>
        <w:t xml:space="preserve">“Разрешить внешние модели”</w:t>
      </w:r>
      <w:r>
        <w:t xml:space="preserve">, если эксплуатационный контур должен оставаться локальным.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локального OpenAI-compatible runtime</dc:title>
  <dc:creator/>
  <cp:keywords/>
  <dcterms:created xsi:type="dcterms:W3CDTF">2026-10-03T09:00:56Z</dcterms:created>
  <dcterms:modified xsi:type="dcterms:W3CDTF">2026-10-03T09:00:56Z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