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Light 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щик-light-gallery"/>
    <w:p>
      <w:pPr>
        <w:pStyle w:val="Heading1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9" w:name="основные-преимущества"/>
    <w:p>
      <w:pPr>
        <w:pStyle w:val="Heading2"/>
      </w:pPr>
      <w:r>
        <w:t xml:space="preserve">1. Основные преимущества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9"/>
    <w:bookmarkStart w:id="10" w:name="функциональные-возможности"/>
    <w:p>
      <w:pPr>
        <w:pStyle w:val="Heading2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Compact"/>
        <w:numPr>
          <w:ilvl w:val="0"/>
          <w:numId w:val="1003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03"/>
        </w:numPr>
      </w:pPr>
      <w:r>
        <w:t xml:space="preserve">Поддерживается переход к конкретной странице по ее номеру.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Light Gallery</dc:title>
  <dc:creator/>
  <cp:keywords/>
  <dcterms:created xsi:type="dcterms:W3CDTF">2026-10-08T21:07:54Z</dcterms:created>
  <dcterms:modified xsi:type="dcterms:W3CDTF">2026-10-08T21:07:54Z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