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u"/>
    <w:p>
      <w:pPr>
        <w:pStyle w:val="Heading1"/>
      </w:pPr>
      <w:r>
        <w:t xml:space="preserve">Назначение KSU</w:t>
      </w:r>
    </w:p>
    <w:p>
      <w:pPr>
        <w:pStyle w:val="FirstParagraph"/>
      </w:pPr>
      <w:r>
        <w:rPr>
          <w:rStyle w:val="VerbatimChar"/>
        </w:rPr>
        <w:t xml:space="preserve">KSU</w:t>
      </w:r>
      <w:r>
        <w:t xml:space="preserve"> </w:t>
      </w:r>
      <w:r>
        <w:t xml:space="preserve">является карточным модулем для записей книги суммарного учета поступления. Он использует тип записи</w:t>
      </w:r>
      <w:r>
        <w:t xml:space="preserve"> </w:t>
      </w:r>
      <w:r>
        <w:rPr>
          <w:rStyle w:val="VerbatimChar"/>
        </w:rPr>
        <w:t xml:space="preserve">KSU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 поступления фонда.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KSU</dc:title>
  <dc:creator/>
  <cp:keywords/>
  <dcterms:created xsi:type="dcterms:W3CDTF">2026-10-04T17:14:34Z</dcterms:created>
  <dcterms:modified xsi:type="dcterms:W3CDTF">2026-10-04T17:14:34Z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