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Данные и представления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анные-и-представления"/>
    <w:p>
      <w:pPr>
        <w:pStyle w:val="Heading1"/>
      </w:pPr>
      <w:r>
        <w:t xml:space="preserve">Данные и представления</w:t>
      </w:r>
    </w:p>
    <w:bookmarkStart w:id="9" w:name="основные-базы"/>
    <w:p>
      <w:pPr>
        <w:pStyle w:val="Heading2"/>
      </w:pPr>
      <w:r>
        <w:t xml:space="preserve">1. Основные базы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9"/>
    <w:bookmarkStart w:id="10" w:name="основные-поля-support"/>
    <w:p>
      <w:pPr>
        <w:pStyle w:val="Heading2"/>
      </w:pPr>
      <w:r>
        <w:t xml:space="preserve">2. Основные поля SUPPORT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Данные и представления</dc:title>
  <dc:creator/>
  <cp:keywords/>
  <dcterms:created xsi:type="dcterms:W3CDTF">2026-10-03T06:15:01Z</dcterms:created>
  <dcterms:modified xsi:type="dcterms:W3CDTF">2026-10-03T06:15:01Z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